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ZQ17.015377 vom 7. September 2017</w:t>
      </w:r>
    </w:p>
    <w:p>
      <w:r>
        <w:t>VD Tribunal cantonal, 2017-09-07, FR</w:t>
      </w:r>
    </w:p>
    <w:p>
      <w:r>
        <w:rPr>
          <w:b/>
        </w:rPr>
        <w:t xml:space="preserve">Quelle: </w:t>
      </w:r>
      <w:r>
        <w:t>https://mcp.opencaselaw.ch/entscheid/vd_gerichte_ZQ17.015377</w:t>
      </w:r>
    </w:p>
    <w:p>
      <w:r>
        <w:t>FR: VD_GERICHTE ZQ17.015377 du 7 septembre 2017</w:t>
      </w:r>
    </w:p>
    <w:p>
      <w:r>
        <w:t>IT: VD_GERICHTE ZQ17.015377 del 7 settembre 2017</w:t>
      </w:r>
    </w:p>
    <w:p>
      <w:pPr>
        <w:pStyle w:val="Heading2"/>
      </w:pPr>
      <w:r>
        <w:t>Erwägungen</w:t>
      </w:r>
    </w:p>
    <w:p>
      <w:r>
        <w:rPr>
          <w:b/>
        </w:rPr>
        <w:t>E. 11</w:t>
      </w:r>
    </w:p>
    <w:p>
      <w:r>
        <w:t>février 2014 consid. 5.2). 5. En conséquence, le recours doit être rejeté, ce qui entraîne la confirmation de la décision sur opposition litigieuse. Il n'est pas perçu de frais judiciaires, la procédure étant gratuite (art. 61 let. a LPGA), ni alloué de dépens (art. 61 let. g LPGA).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