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ZQ16.025970 vom 20. Juli 2018</w:t>
      </w:r>
    </w:p>
    <w:p>
      <w:r>
        <w:t>VD Tribunal cantonal, 2018-07-20, FR</w:t>
      </w:r>
    </w:p>
    <w:p>
      <w:r>
        <w:rPr>
          <w:b/>
        </w:rPr>
        <w:t xml:space="preserve">Quelle: </w:t>
      </w:r>
      <w:r>
        <w:t>https://mcp.opencaselaw.ch/entscheid/vd_gerichte_ZQ16.025970</w:t>
      </w:r>
    </w:p>
    <w:p>
      <w:r>
        <w:t>FR: VD_GERICHTE ZQ16.025970 du 20 juillet 2018</w:t>
      </w:r>
    </w:p>
    <w:p>
      <w:r>
        <w:t>IT: VD_GERICHTE ZQ16.025970 del 20 luglio 2018</w:t>
      </w:r>
    </w:p>
    <w:p>
      <w:pPr>
        <w:pStyle w:val="Heading2"/>
      </w:pPr>
      <w:r>
        <w:t>Erwägungen</w:t>
      </w:r>
    </w:p>
    <w:p>
      <w:r>
        <w:rPr>
          <w:b/>
        </w:rPr>
        <w:t>E. 1</w:t>
      </w:r>
    </w:p>
    <w:p>
      <w:r>
        <w:t>let. a OACI [ordonnance fédérale du 31 août 1983 sur l’assurance- chômage obligatoire et l’indemnité en cas d’insolvabilité ; RS 837.02], applicable par renvoi de l'art. 128 al. 1 OACI),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w:t>
      </w:r>
    </w:p>
    <w:p>
      <w:r>
        <w:t>- 6 - cantonal est compétente pour statuer (art. 93 let. a LPA-VD). En l’occurrence, la valeur litigieuse, correspondant à neuf indemnités journalières, est inférieure à 30'000 francs. La présente cause relève ainsi de la compétence d'un membre de la Cour des assurances sociales statuant en tant que juge unique (art. 94 al. 1 let. a LPA-VD). b) En l'espèce, le recours a été formé en temps utile et dans le respect des formalités prévues par la loi (art. 61 let. b LPGA notamment), de sorte qu'il est recevable.</w:t>
      </w:r>
    </w:p>
    <w:p>
      <w:r>
        <w:rPr>
          <w:b/>
        </w:rPr>
        <w:t>E. 2</w:t>
      </w:r>
    </w:p>
    <w:p>
      <w:r>
        <w:t>Le présent litige porte sur le point de savoir si l’intimé était fondé, par sa décision sur opposition du 18 mai 2016, à suspendre le droit du recourant à l'indemnité de chômage pour une durée de neuf jours, au motif que celui-ci ne s’était pas présenté à l’entretien de conseil et de contrôle du 4 mars 2016.</w:t>
      </w:r>
    </w:p>
    <w:p>
      <w:r>
        <w:rPr>
          <w:b/>
        </w:rPr>
        <w:t>E. 3</w:t>
      </w:r>
    </w:p>
    <w:p>
      <w:r>
        <w:t>a) L'assuré a droit à l'indemnité de chômage s'il satisfait, entre autres conditions, aux exigences du contrôle (art. 8 al. 1 let. g LACI). A cet effet, il est tenu de participer aux entretiens de conseil et de contrôle lorsque l'autorité compétente le lui enjoint (art. 17 al. 3 let. b LACI). L’office compétent mène ainsi un entretien de conseil et de contrôle avec chaque assuré à intervalles pertinents mais au moins tous les deux mois. Lors de cet entretien, il contrôle l’aptitude et la disponibilité au placement de l’assuré (art. 22 al. 2 OACI). L’office compétent fixe les dates des entretiens de conseil et de contrôle individuellement pour chaque assuré (art. 21 al. 2 OACI). b)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(TF 8C_928/2014 du 5 mai 2015 consid. 2 et 8C_675/2014 du 12 décembre 2014 consid. 3; voir pour un résumé de la jurisprudence à ce sujet TFA C 209/99 du 2 septembre 1999 consid. 3 in DTA 2000 n° 21 p. 101).</w:t>
      </w:r>
    </w:p>
    <w:p>
      <w:r>
        <w:t>- 7 - c)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8C_928/2014 précité consid. 5.1 ; 8C_675/2014 précité consid. 3 ; 8C_834/2010 du 11 mai 2011 consid. 2.3 ; 8C_469/2010 du 9 février 2011 consid. 2.2 et 8C_447/2008 du 16 octobre 2008 consid. 5.1 in DTA 2009 p. 271; cf. aussi TF C 265/06 du 14 novembre 2007 consid. 4.2).</w:t>
      </w:r>
    </w:p>
    <w:p>
      <w:r>
        <w:rPr>
          <w:b/>
        </w:rPr>
        <w:t>E. 4</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En droit des assurances sociales, il n'existe par conséquent pas de principe selon lequel l'administration ou le juge devrait statuer, dans le doute, en faveur de l'assuré (ATF 135 V 39 consid. 6.1 et les références citées). b) Par ailleurs,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En matière d’assurance-</w:t>
      </w:r>
    </w:p>
    <w:p>
      <w:r>
        <w:t>- 8 - chômage, il revient aux organes d’exécution mentionnés aux art. 76 ss LACI de mettre en œuvre les mesures d’instruction nécessaires afin de constituer un dossier complet.</w:t>
      </w:r>
    </w:p>
    <w:p>
      <w:r>
        <w:rPr>
          <w:b/>
        </w:rPr>
        <w:t>E. 5</w:t>
      </w:r>
    </w:p>
    <w:p>
      <w:r>
        <w:t>L’intimé justifie la sanction de neuf jours au motif que l’excuse présentée par le recourant pour son absence, à savoir son état de santé, ne serait pas valable dès lors que le certificat médical établi le 19 avril 2016 par la Dresse R.________ ne rend pas compte de l’impossibilité d’assister à un entretien, respectivement que l’hospitalisation à la Clinique D.________ est postérieure à l’entretien manqué (cf. certificats des 29 mars et 5 avril 2016 de la Dresse B.________). Cette argumentation ne sera pas suivie. Lorsqu’il a rendu sa décision sur opposition, l’intimé disposait également, en plus des certificats précités, de celui du Dr V.________ du 13 avril 2016 et de celui du Dr F.________ du 2 mai 2016 faisant état d’une santé psychique très problématique, ceci durant la période concernée ; les procès-verbaux d’entretien téléphoniques entre l'assuré et sa conseillère ORP du 7 avril 2016, soit un mois après le rendez-vous manqué, puis avec la Dresse R.________ le 22 avril suivant, rendent compte d’un assuré personnellement très confus, respectivement d’une maladie aiguë ayant nécessité hospitalisation. Dans ces circonstances, vu les avis médicaux concordants, l’intimé ne pouvait se borner à l’examen d’un seul certificat prétendument lacunaire ; s’il entendait en contester la portée – si tant est qu’elle ait pu être contestée au regard des autres avis médicaux au dossier – il ne pouvait le faire sans poursuivre l’instruction auprès des médecins concernés, respectivement de l’assuré, afin qu’ils précisent la portée de l’atteinte, respectivement ce qui avait pu faire obstacle à la tenue de l’entretien litigieux. Le médecin-conseil de l’assurance pouvait également être consulté, afin d’asseoir une décision qui revenait à mettre en cause la crédibilité des certificats médicaux produits et de leurs auteurs.</w:t>
      </w:r>
    </w:p>
    <w:p>
      <w:r>
        <w:t>- 9 - Ceci relevait du devoir d’instruire d’office une question déterminante (art. 43 LPGA). En s’en étant abstenu, l’intimé a violé ce devoir et versé dans l’arbitraire, abusant de son pouvoir d’appréciation. Dans ces conditions, la sanction s’avère mal fondée dans son principe, de sorte qu’elle doit purement et simplement être annulée. Il sera encore précisé que, dans l’hypothèse où il l’estime encore nécessaire, il revient à l’intimé – conformément à ce qui vient d’être rappelé – de procéder au complément d’instruction utile, en tenant compte de l’ensemble des pièces versées au dossier constitué.</w:t>
      </w:r>
    </w:p>
    <w:p>
      <w:r>
        <w:rPr>
          <w:b/>
        </w:rPr>
        <w:t>E. 6</w:t>
      </w:r>
    </w:p>
    <w:p>
      <w:r>
        <w:t>En définitive, le recours se révèle bien fondé, de sorte qu’il doit être admis et la décision sur opposition rendue par l’intimé le 18 mai 2016 annulée.</w:t>
      </w:r>
    </w:p>
    <w:p>
      <w:r>
        <w:rPr>
          <w:b/>
        </w:rPr>
        <w:t>E. 7</w:t>
      </w:r>
    </w:p>
    <w:p>
      <w:r>
        <w:t>Il n’y a pas lieu de percevoir d’émolument judiciaire, la procédure étant gratuite (art. 61 let. a LPGA), ni d’allouer de dépens, dès lors que le recourant, bien qu’obtenant gain de cause, a agi sans le concours d’un mandataire professionnel (cf. art. 61 let. g LPGA). Par ces motifs, le juge unique p r o n o n c e : I. Le recours est admis. II. La décision sur opposition rendue le 18 mai 2016 par le Service de l’emploi, Instance juridique chômage, est annulée. III. Il n’est pas perçu d’émolument judiciaire, ni alloué de dépens. Le juge unique : Le greffier : Du</w:t>
      </w:r>
    </w:p>
    <w:p>
      <w:r>
        <w:t>- 10 - L'arrêt qui précède est notifié à : - M.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