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ZQ15.045887 vom 2. Mai 2016</w:t>
      </w:r>
    </w:p>
    <w:p>
      <w:r>
        <w:t>VD Tribunal cantonal, 2016-05-02, FR</w:t>
      </w:r>
    </w:p>
    <w:p>
      <w:r>
        <w:rPr>
          <w:b/>
        </w:rPr>
        <w:t xml:space="preserve">Quelle: </w:t>
      </w:r>
      <w:r>
        <w:t>https://mcp.opencaselaw.ch/entscheid/vd_gerichte_ZQ15.045887</w:t>
      </w:r>
    </w:p>
    <w:p>
      <w:r>
        <w:t>FR: VD_GERICHTE ZQ15.045887 du 2 mai 2016</w:t>
      </w:r>
    </w:p>
    <w:p>
      <w:r>
        <w:t>IT: VD_GERICHTE ZQ15.045887 del 2 maggio 2016</w:t>
      </w:r>
    </w:p>
    <w:p>
      <w:pPr>
        <w:pStyle w:val="Heading2"/>
      </w:pPr>
      <w:r>
        <w:t>Erwägungen</w:t>
      </w:r>
    </w:p>
    <w:p>
      <w:r>
        <w:rPr>
          <w:b/>
        </w:rPr>
        <w:t>E. 3</w:t>
      </w:r>
    </w:p>
    <w:p>
      <w:r>
        <w:t>; ATF 126 V 23 consid. 4b et les références). b) Le droit de demander la restitution de prestations indûment touchées s'éteint un an après le moment où l'institution d'assurance a eu connaissance du fait, mais au plus tard cinq ans après le versement de la prestation (art. 25 al. 2, 1ère phrase, LPGA). Il s'agit là d'un délai de péremption (TF 8C_616/2009 du 14 décembre 2009 ; cf. pour l'ancien droit ATF 124 V 380 consid. 1, 122 V 270 consid. 5a et 119 V 431 consid. 3a avec les arrêts cités). Le point de départ du délai n'est pas celui de la commission de son erreur par l'administration, mais celui où elle aurait dû, dans un deuxième temps, s'en rendre compte (par exemple à l'occasion d'un contrôle comptable), en faisant preuve de l'attention requise (ATF 124 V 380 consid. 1, 122 V 270 consid. 5b/aa et 119 V 431 consid. 3a avec les arrêts cités). La caisse doit disposer de tous les éléments qui sont décisifs dans le cas concret et dont la connaissance fonde - quant à son principe et à son étendue - la créance en restitution à l'encontre d'une personne déterminée, tenue à restitution (TF 8C_616/2009 du 14 décembre 2009 consid. 3.2 ; ATF 111 V 14 consid. 3). Le délai de péremption d'une année commence à courir dans tous les cas aussitôt qu'il s'avère que les prestations en question étaient indues (TF 9C_632/2012 du 10 janvier 2013 consid. 4.2 et K 70/06 du 30 juillet 2007 consid. 5.1). Le début de ce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(ATF 124 V 380 consid. 2c).</w:t>
      </w:r>
    </w:p>
    <w:p>
      <w:r>
        <w:t>- 21 - c) Le destinataire d'une décision de restitution qui entend la contester dispose en réalité de deux moyens qu'il convient de distinguer de façon claire. S'il prétend qu'il avait droit aux prestations en question, il s'oppose à la décision de restitution dans un délai de trente jours. En revanche, s'il admet avoir perçu indûment les prestations, mais qu'il invoque sa bonne foi et les difficultés économiques qu'il rencontrerait en cas d'un remboursement, il doit présenter une demande de remise (Rubin, Assurance-chômage : Droit fédéral, Survol des mesures cantonales, Procédure, 2e éd., Zurich 2006, n° 10.5.2 p. 719) ; dans la mesure où cette requête ne peut être traitée sur le fond que si la demande de restitution est entrée en force, la remise et son étendue font donc l'objet d'une procédure distincte (art. 4 al. 2 OPGA [ordonnance fédérale du 11 septembre 2002 sur la partie générale du droit des assurances sociales ; RS 830.11] ; TF P 63/06 du 14 mars 2007 consid. 3). Selon le ch. A26 du Bulletin LACI RCRE (Restitution, compensation, remise et encaissement), si un assuré se retrouve à avoir perçu indûment des indemnités parce qu'il a agi (ou a omis de le faire) en raison des instructions qui lui ont été fournies par une autorité d'exécution de la LACI, la caisse ne pourra lui demander de les restituer. Le ch. A27 du Bulletin précité dispose en outre qu'aux termes de l'art. 3 al. 3 OPGA, l'assureur décide de renoncer à la restitution lorsqu'il est manifeste que les conditions d'une remise sont réunies. Les conditions de la remise doivent être manifestes, c'est-à-dire qu'elles doivent ressortir des documents en possession de la caisse. La caisse peut notamment renoncer à demander la restitution lorsque la demande de restitution découle exclusivement d'une erreur de la caisse, et le dossier indique que l'assuré touche l'aide sociale ou des prestations complémentaires AVS/Al. Afin de justifier une éventuelle demande de libération, une note devra figurer au dossier indiquant la décision de la caisse de ne pas demander la restitution. d) En l'occurrence, ainsi qu'on l'a vu, durant la période litigieuse, soit de mai 2014 à mars 2015, le recourant a été intégralement</w:t>
      </w:r>
    </w:p>
    <w:p>
      <w:r>
        <w:t>- 22 - indemnisé par l'assurance-chômage, alors qu'il n'avait pas droit à des prestations de cette assurance en Suisse, ni ne pouvait se prévaloir du principe de la protection de la bonne foi, faute d'avoir établi qu'un renseignement erroné lui aurait été donné. Dans ces circonstances, c'est à bon droit que la caisse intimée a procédé à la révision de ses décisions d'octroi de prestations et a exigé la restitution des prestations versées à tort durant les mois de de mai 2014 à mars 2015, par 81'051 fr. 50, montant dont la quotité n'est, à juste titre, pas contestée. La caisse a au demeurant agi en temps utile, puisqu'elle a eu connaissance au printemps 2015 de l'attestation selon laquelle l'assuré n'était pas domicilié en Suisse mais en France, et qu'elle a réclamé la somme litigieuse par décision du 19 juin 2015 (cf. consid. 4b supra). Sa créance n'est dès lors pas périmée. Le recourant fait état de sa situation financière difficile et sollicite la remise de l'obligation de restituer. Cette question n’a pas à être examinée dans le cadre du présent litige mais sera appréciée, cas échéant, à l'occasion d'une demande ultérieure de remise de la prestation à restituer au sens des art. 25 al. 1 et 4 OPGA (cf. consid. 5c supra).</w:t>
      </w:r>
    </w:p>
    <w:p>
      <w:r>
        <w:rPr>
          <w:b/>
        </w:rPr>
        <w:t>E. 6</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6d/cc). Une telle manière de procéder ne viole pas le droit d'être entendu selon l'art. 29 al. 2 Cst. (SVR 2001 IV n° 10 p. 28 consid. 4b ; ATF 124 V 90 consid. 4b ; 122 V 157 consid. 1d et la référence citée). En l'occurrence, le dossier est complet, permettant à la Cour de céans de statuer en pleine connaissance de cause. L'audition personnelle requise par le recourant apparaît ainsi superflue.</w:t>
      </w:r>
    </w:p>
    <w:p>
      <w:r>
        <w:t>- 23 -</w:t>
      </w:r>
    </w:p>
    <w:p>
      <w:r>
        <w:rPr>
          <w:b/>
        </w:rPr>
        <w:t>E. 7</w:t>
      </w:r>
    </w:p>
    <w:p>
      <w:r>
        <w:t>a) Des considérants qui précèdent, il résulte que le recours, mal fondé, doit être rejeté et les décisions entreprises confirmées. b) Il n'y a pas lieu de percevoir de frais judiciaires, la procédure étant gratuite (cf. art. 61 let. a LPGA), ni d'allouer de dépens, le recourant n'obtenant pas gain de cause (cf. art. 61 let. g LPGA ;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