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ZQ15.043782 vom 16. Januar 2017</w:t>
      </w:r>
    </w:p>
    <w:p>
      <w:r>
        <w:t>VD Tribunal cantonal, 2017-01-16, FR</w:t>
      </w:r>
    </w:p>
    <w:p>
      <w:r>
        <w:rPr>
          <w:b/>
        </w:rPr>
        <w:t xml:space="preserve">Quelle: </w:t>
      </w:r>
      <w:r>
        <w:t>https://mcp.opencaselaw.ch/entscheid/vd_gerichte_ZQ15.043782</w:t>
      </w:r>
    </w:p>
    <w:p>
      <w:r>
        <w:t>FR: VD_GERICHTE ZQ15.043782 du 16 janvier 2017</w:t>
      </w:r>
    </w:p>
    <w:p>
      <w:r>
        <w:t>IT: VD_GERICHTE ZQ15.043782 del 16 gennaio 2017</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w:t>
      </w:r>
    </w:p>
    <w:p>
      <w:r>
        <w:t>- 14 -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et art. 83b LOJV [loi cantonale vaudoise d’organisation judiciaire du 12 décembre 1979 ; RSV 173.01). b) En l’espèce, interjeté dans le respect du délai légal et des autres conditions de forme (art. 61 let. b LPGA notamment), le recours est recevable. Il y a donc lieu d’entrer en matière. c) La valeur litigieuse étant inférieure à 30'000 fr. au vu du nombre de jours de suspension du droit aux indemnités, la présente cause relève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w:t>
      </w:r>
    </w:p>
    <w:p>
      <w:r>
        <w:t>- 15 - ensemble, mais se borne à examiner les aspects de cette décision que le recourant a critiqués, exception faite lorsque les points non critiqués ont des liens étroits avec la question litigieuse (ATF 131 V 164 consid. 2.1 ; ATF 125 V 413 consid. 2c ; ATF 110 V 48 consid. 4a). b) En l’espèce, le présent litige porte sur le point de savoir si l'intimée était fondée, par sa décision sur opposition du 14 septembre 2015, à confirmer la suspension du droit de l’assuré aux indemnités de trente-et-un jours indemnisables dès le 2 décembre 2014. Il y a dès lors lieu de déterminer si, au regard des circonstances, on pouvait exiger du recourant qu'il ne se départisse pas de son contrat chez Y.________ avant d'en avoir conclu un autre.</w:t>
      </w:r>
    </w:p>
    <w:p>
      <w:r>
        <w:rPr>
          <w:b/>
        </w:rPr>
        <w:t>E. 3</w:t>
      </w:r>
    </w:p>
    <w:p>
      <w:r>
        <w:t>a)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L'art. 44 al. 1 let. b OACI est compatible avec l'art. 20 let. c de la Convention n°168 concernant la promotion de l'emploi et la protection contre le chômage du 21 juin 1988 (RS 0.822.726.8). La notion d'inexigibilité de l'art. 44 al. 1 let. b OACI doit être interprétée conformément à la convention qui permet de sanctionner celui qui a quitté volontairement son emploi sans motif légitime (art. 20 let. c). Dans le cas où l'assuré a en réalité été contraint de donner son congé par son employeur ou par l'évolution des rapports de travail, il n'est pas réputé avoir quitté volontairement son emploi. Il ne saurait non plus être sanctionné s'il existe des motifs légitimes à l'abandon de l'emploi (TFA C 378/00 du 4 septembre 2001 consid. 2a et réf. cit.). b) Selon la jurisprudence, il y a lieu d'admettre de façon restrictive les circonstances pouvant justifier l'abandon d'un emploi. Des désaccords sur le montant du salaire ou un rapport tendu avec des supérieurs ou des collègues de travail ne suffisent pas à justifier l'abandon</w:t>
      </w:r>
    </w:p>
    <w:p>
      <w:r>
        <w:t>- 16 - d'un emploi. Dans ces circonstances, on doit au contraire attendre de l'assuré qu'il fasse l'effort de garder sa place jusqu'à ce qu'il ait trouvé un nouvel emploi (cf. TF 8C_225/2009 du 30 juillet 2009 consid. 5.1 et réf. cit. ; cf. Boris Rubin, Assurance-chômage, Droit fédéral, Survol des mesures cantonales, Procédure, 2ème éd., Zurich/Bâle/Genève 2006, p. 444). Aux termes de l’art. 16 al. 2 LACI, un travail qui n'est pas réputé convenable est exclu de l'obligation d'être accepté. Or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(TFA C 378/00 du 4 septembre 2001 consid. 2b et réf. cit.). Par ailleurs, un assuré disposant d’un motif de résiliation immédiate d’un contrat de travail au sens de l’art. 337 CO (code des obligations du 30 mars 1911 ; RS 220) sera légitimé à abandonner son poste (TFA C 74/06 du 6 mars 2007 consid. 3 ; Boris Rubin, Commentaire de la loi sur l'assurance-chômage, Genève/Zurich/Bâle 2014, ad art. 30 p. 310 n°37). c) Savoir si l'on pouvait exiger d'un assuré qu'il conservât son ancien emploi (art. 44 al. 1 let. b OACI) dépend de l'ensemble des circonstances du cas concret. L'exigibilité est présumée. Cette présomption peut être renversée par l'assuré, mais il ne faut pas se montrer trop strict quant à la preuve qui lui incombe ; il appartient bien plutôt à l'administration ou au juge d'instruire d'office le cas lorsque des éléments du dossier pourraient faire apparaître comme non exigible la continuation des rapports de travail (TFA C 258/03 du 27 janvier 2004 consid. 6 et réf. cit.). d) De manière générale, une mesure de suspension suppose toujours l'existence d'une faute de l'assuré dont la gravité – légère, moyenne ou lourde – détermine la durée de la sanction (cf. art. 45 al. 3 OACI). La notion de faute prend toutefois, en droit de l'assurance- chômage, une acception particulière, spécifique à ce domaine. Elle ne suppose pas nécessairement, comme en droit pénal ou civil, que l'on doive</w:t>
      </w:r>
    </w:p>
    <w:p>
      <w:r>
        <w:t>- 17 -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C 207/05 du 31 octobre 2006 consid. 4.2 et réf. cit.).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w:t>
      </w:r>
    </w:p>
    <w:p>
      <w:r>
        <w:rPr>
          <w:b/>
        </w:rPr>
        <w:t>E. 3.2</w:t>
      </w:r>
    </w:p>
    <w:p>
      <w:r>
        <w:t>et 3.3; 126 V 353 consid. 5b;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cf. ATF 130 I 180 consid. 3.2).</w:t>
      </w:r>
    </w:p>
    <w:p>
      <w:r>
        <w:t>- 18 -</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w:t>
      </w:r>
    </w:p>
    <w:p>
      <w:r>
        <w:rPr>
          <w:b/>
        </w:rPr>
        <w:t>E. 5</w:t>
      </w:r>
    </w:p>
    <w:p>
      <w:r>
        <w:t>a) En l’espèce, il n'est pas contesté que le recourant a donné son congé le 1er septembre 2014 pour le 1er décembre 2014 sans avoir été préalablement assuré d'obtenir un autre emploi. Pour pouvoir retenir que P.________ s'est trouvé sans travail par sa propre faute au sens de l'art. 30 al. 1 let. a LACI, il convient donc d’examiner s’il pouvait être exigé de lui qu'il conservât son emploi auprès d’Y.________ (cf. consid. 3 ci-dessus). b) On rappellera brièvement que P.________ exerçait la fonction de « General secretary – Head of Legal &amp; Compliance » pour Y.________, avec le titre de directeur, à partir du 1er octobre 2012. Dans le certificat de travail établi par Y.________, il est précisé que le recourant avait la qualité de « Secrétaire Général du Groupe N.________». S’agissant des activités du groupe N.________ en lien avec le groupe AD.________, on retiendra que quand bien même l’illicéité des activités en cause n’avait pas été démontrée en été 2014, les suspicions de P.________ à cet égard reposaient sur des indices sérieux. En particulier, plusieurs articles de presse faisaient état de l’implication du groupe N.________ dans la débâcle du groupe AD.________ et des soupçons de fraude avaient été évoqués. De plus, la société U.________, l’une des entités du groupe N.________, avait été nommément mise en cause. A la suite de ces révélations, le recourant a immédiatement réagi en interpelant les administrateurs d’Y.________ Dans sa note interne du 8 août 2014, P.________ a détaillé quatre mesures qui devaient être prises urgemment. S’agissant en particulier d’U.________, le recourant indiquait qu’il avait consulté un avocat en la personne de Me H.________ et que cette société devait être mise en liquidation volontaire immédiatement. Il requerrait en outre une présentation complète et détaillée de l’ensemble des relations entre le groupe N.________ et le groupe AD.________, portant en particulier sur les activités d’A.________ et d’U.________ y relatives. Il expliquait également qu’une revue complète des activités et des opérations de ces entités devait avoir lieu afin de déterminer si le groupe N.________ et/ou ses entités avait transgressé des normes pénales, civiles, et/ou réglementaires. Le recourant n’a toutefois pas reçu d’explications satisfaisantes de la part de son employeur, le CEO [« chief executive</w:t>
      </w:r>
    </w:p>
    <w:p>
      <w:r>
        <w:t>- 19 - officer »] du groupe ayant d’ailleurs annulé unilatéralement et sans report une séance prévue le 1er septembre 2014 destinée à donner des informations complètes et détaillées au recourant. Dans ces conditions, P.________ pouvait légitimement craindre que son employeur fût impliqué dans des activités potentiellement délictueuses. De surcroît, le recourant était susceptible d’être poursuivi en tant qu’organe de la société Y.________ (cf. notamment art. 55 al. 3 CC et art. 754 CO). C’est le lieu de rappeler qu’est considérée comme organe d’une personne morale celui qui participe effectivement et d'une façon décisive à la formation de la volonté sociale, durablement et dans un vaste domaine dépassant les affaires courantes. Il peut s’agir des personnes qui sont chargées par la loi ou par les statuts de gérer et de représenter la personne morale (organe formel). Est aussi un organe celui qui, sans en porter le titre, exerce effectivement la fonction de l'organe (organe de fait). Est également organe celui qui a été désigné par la personne morale comme disposant des pouvoirs de l'organe, alors même que ce n'est pas le cas (organe apparent ; cf. TF 4A_48/2009 du 26 mars 2009 consid. 2.3. et réf. cit.). En l’espèce, il n’est pas exclu que le recourant – en sa qualité de « General secretary – Head of Legal &amp; Compliance » d’Y.________., inscrit au registre du commerce comme directeur au bénéfice d’une signature collective à deux, et au vu des tâches qui lui étaient confiées – soit considéré comme un organe de la société. A ce titre, il pouvait donc potentiellement engager sa responsabilité. Il convient en outre de souligner que le recourant, comme il l’explique dans ses écritures, s’est formé et a orienté sa carrière dans le domaine du « legal and compliance » en matière bancaire et financière. Dans ce contexte, P.________ est ainsi susceptible d’exercer une activité sur les marchés financiers, pour laquelle une autorisation de la FINMA peut être nécessaire. S’agissant par exemple de l’autorisation pour travailler comme intermédiaire financier, celle-ci ne peut être accordée que si l’intermédiaire financier respecte les conditions définies par la loi, soit notamment l’obligation de jouir d’une bonne réputation et présenter toutes les garanties de respect des obligations découlant de la loi sur le</w:t>
      </w:r>
    </w:p>
    <w:p>
      <w:r>
        <w:t>- 20 - blanchiment d’argent (cf. art. 14 al. 2 let. c LBA [loi fédérale du 10 octobre 1997 concernant la lutte contre le blanchiment d’argent et le financement du terrorisme ; RS 955.0]). Or si le recourant avait été, dans la foulée des événements de 2014, impliqué dans des poursuites, singulièrement dans le cadre de procédures portant sur un cas de blanchiment d’argent à grande échelle, sa réputation aurait pu être mise en cause, risquant ainsi de prétériter son avenir professionnel, sous l’angle notamment de l’obtention d’une autorisation de la FINMA (cf. également l’arrêt du Tribunal administratif du canton de Vaud du 30 mai 2005 en la cause PS.2004.0001 consid 2). Dans un tel contexte de faits, le recourant ne pouvait dès lors être tenu de supporter les risques liés aux activités de son employeur. Par conséquent, contrairement à ce que soutient l’intimée, on ne saurait considérer que la poursuite des rapports de travail était encore exigible au sens de l’art. 44 al. 1 let. b OACI. c) A cet égard, l’argument de la caisse de chômage selon lequel le recourant n’était pas responsable des clients du groupe N.________ et que sa responsabilité ne pouvait être engagée ne saurait être suivi. En effet, si le recourant était certes le directeur des affaires juridiques et de la compliance de la société Y.________, et non pas des autres sociétés du groupe, il n’en demeure pas moins que selon son cahier des charges, il lui incombait notamment d’identifier les risques juridiques pour les sociétés du groupe et de s’assurer de la bonne conformité de ces différentes entités, soit en particulier Y.________., A.________, O.________, U.________ et E.________. Il devait également proposer une organisation juridique au sein du groupe, prendre en main le service juridique, et se familiariser avec les différentes activités du groupe et leurs besoins de support juridique. Il ressort en outre du certificat de travail établi par l’employeur que le recourant était notamment chargé de la gestion des audits LBA et de la mise en place des exigences FATCA [Foreign Account Tax Compliance Act] pour l’ensemble des sociétés du groupe. En sa qualité de secrétaire général du groupe N.________, le recourant devait en outre améliorer la gouvernance d’entreprise pour l’ensemble des sociétés</w:t>
      </w:r>
    </w:p>
    <w:p>
      <w:r>
        <w:t>- 21 - du groupe. Autrement dit, le recourant assumait non seulement des responsabilités concernant Y.________, mais également s’agissant des autres sociétés du groupe N.________. On doit par conséquent admettre que P.________ devait effectivement posséder une vision détaillée et une compréhension approfondie des relations de ces diverses entités entre elles ainsi qu’avec les tiers, faute de quoi il ne pouvait exercer correctement les tâches qui lui avaient été attribuées. En particulier, on voit difficilement comment il aurait pu identifier les risques juridiques pour les sociétés du groupe et s’assurer de la bonne conformité de ces entités sans avoir connaissance des tenants et aboutissants de cette affaire. En l’absence de ces informations, le recourant risquait précisément d’engager sa responsabilité, et cela également après les événements de l’été 2014. d) De surcroît, on ne saurait considérer que de par son inscription au registre du commerce comme directeur avec signature collective à deux, le recourant avait forcément connaissance des liens entre le groupe N.________ et le groupe AD.________, et qu’il était au courant d’éventuelles activités problématiques. D’une part, il n’existe au dossier aucun élément corroborant cette affirmation. Au contraire, il ressort des pièces produites que le recourant ne possédait pas ces informations, raison pour laquelle il a interpelé son employeur afin d’obtenir une vue complète des activités du groupe N.________, en particulier de celles liées au groupe AD.________ (cf. note interne du 8 août 2014 et courrier de résiliation du 1er septembre 2014). D’autre part, cette appréciation est peu vraisemblable au vu de la taille du groupe N.________, du nombre des sociétés qui le composaient et de la complexité des relations entre ces différentes entités et envers les tiers. A ce propos, le recourant explique de façon convaincante que les structures dont il était question étaient d’une telle complexité que sans la collaboration de certains administrateurs du groupe N.________ lui permettant d’avoir une vue globale de la situation, il lui était impossible de les comprendre dans leur ensemble.</w:t>
      </w:r>
    </w:p>
    <w:p>
      <w:r>
        <w:rPr>
          <w:b/>
        </w:rPr>
        <w:t>E. 6</w:t>
      </w:r>
    </w:p>
    <w:p>
      <w:r>
        <w:t>a) Cela étant, les circonstances particulières du cas d’espèce conduisent également à retenir que le recourant pouvait se prévaloir d’un</w:t>
      </w:r>
    </w:p>
    <w:p>
      <w:r>
        <w:t>- 22 - juste motif de résiliation immédiate du contrat de travail au sens de l’art. 337 CO lorsqu’il a donné son congé. En effet, une activité problématique peut constituer un juste motif de résiliation immédiate au sens de cet article et, en règle générale, délier le travailleur de son devoir de maintenir les rapports de travail jusqu'à ce qu'il soit assuré d'obtenir un autre emploi. L'absence de sanction suppose toutefois que la résiliation intervienne en dernier ressort, après que l'intéressé eut pris toutes les mesures exigibles afin que l'employeur satisfasse désormais pleinement à ses obligations contractuelles (TF 8C_285/2013 du 11 février 2014 consid. 6.2.2 et réf. cit.). b) Sont notamment considérées comme de justes motifs de résiliation du contrat de travail toutes les circonstances qui, selon les règles de la bonne foi, ne permettent pas d'exiger de celui qui a donné le congé la continuation des rapports de travail (cf. art. 337 al. 2 CO). Selon la jurisprudence, la résiliation immédiate pour justes motifs, qui constitue une mesure exceptionnelle, doit être admise de manière restrictive ;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(cf. ATF 137 III 303 consid. 2.1.1). En cas de manquement moins grave, celui-ci ne peut entraîner une résiliation immédiate que s'il a été répété malgré un avertissement (cf. TF 4A_137/2014 du 10 juin 2014 consid. 2). c) En l’espèce, il ressort du dossier que le recourant a résilié son contrat de travail après avoir vainement tenté d’obtenir de son employeur des explications légitimes concernant les relations du groupe N.________ et du groupe AD.________, en particulier s’agissant des activités d’A.________ et d’U.________ y relatives. De plus, avant de donner sa démission, le recourant a consulté un avocat, Me H.________, lequel lui a conseillé de résilier son contrat (cf. opposition du 3 mars 2015). Autrement dit, ce n’est qu’en dernier ressort, comme ultima ratio, que l’intéressé a mis fin aux rapports de travail, faute d’avoir reçu l’assurance de la légalité</w:t>
      </w:r>
    </w:p>
    <w:p>
      <w:r>
        <w:t>- 23 - des activités du groupe et malgré ses sollicitations pour obtenir des explications. Dans ces conditions, le mutisme de l’employeur sur son implication dans la débâcle du groupe AD.________ était propre à détruire, ou, à tout le moins, à ébranler la confiance que P.________ plaçait en ce dernier et qui lui était nécessaire à l’accomplissement de ses tâches. On ne pouvait donc exiger, selon les règles de la bonne foi, la continuation des rapports de travail. Certes, le recourant ne s’est pas prévalu d’un juste motif de résiliation dans son courrier du 1er septembre 2014. La manière dont P.________ a mis fin aux rapports de travail n’exclut toutefois nullement la présence de justes motifs au sens de l’art. 337 CO (arrêt du Tribunal administratif du canton de Vaud du 25 février 2002 en la cause PS.2001.0141 consid. 4c confirmé par le Tribunal fédéral des assurances par arrêt du 29 janvier 2003 en la cause C 68/02). d) Au vu de ce qui précède, on ne pouvait donc exiger du recourant qu’il conservât son emploi pour Y.________, si bien que P.________ ne peut être considéré comme sans travail par sa propre faute. Il n’y a ainsi pas lieu de le sanctionner.</w:t>
      </w:r>
    </w:p>
    <w:p>
      <w:r>
        <w:rPr>
          <w:b/>
        </w:rPr>
        <w:t>E. 7</w:t>
      </w:r>
    </w:p>
    <w:p>
      <w:r>
        <w:t>Des considérations qui précèdent, il résulte que le recours doit être admis et la décision sur opposition du 14 septembre 2015 annulée en conséquence. Il n’y a pas lieu de percevoir de frais judiciaires, la procédure étant gratuite (art. 61 let. a LPGA). Le recourant, qui obtient gain de cause avec l'assistance d'un mandataire, a droit à des dépens qu’il convient, compte tenu de l’importance et de la complexité du litige, de fixer à 1’800 fr. à la charge de l’intimée (art. 61 let. g LPGA et 55 LPA-VD). Par ces motifs, le juge unique p r o n o n c e :</w:t>
      </w:r>
    </w:p>
    <w:p>
      <w:r>
        <w:t>- 24 - I. Le recours est admis. II. La décision sur opposition rendue le 14 septembre 2015 par la Caisse cantonale de chômage, Division juridique, est annulée. III. Il n’est pas perçu de frais. IV. La Caisse cantonale de chômage, Division juridique, versera à P.________ un montant de 1’800 fr. (mille huit cent francs) à titre de dépens. Le juge unique : La greffière : Du L'arrêt qui précède est notifié à : - Me Christophe Wilhelm (pour P.________), - G.________,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