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ZQ15.021621 vom 20. Mai 2016</w:t>
      </w:r>
    </w:p>
    <w:p>
      <w:r>
        <w:t>VD Tribunal cantonal, 2016-05-20, FR</w:t>
      </w:r>
    </w:p>
    <w:p>
      <w:r>
        <w:rPr>
          <w:b/>
        </w:rPr>
        <w:t xml:space="preserve">Quelle: </w:t>
      </w:r>
      <w:r>
        <w:t>https://mcp.opencaselaw.ch/entscheid/vd_gerichte_ZQ15.021621</w:t>
      </w:r>
    </w:p>
    <w:p>
      <w:r>
        <w:t>FR: VD_GERICHTE ZQ15.021621 du 20 mai 2016</w:t>
      </w:r>
    </w:p>
    <w:p>
      <w:r>
        <w:t>IT: VD_GERICHTE ZQ15.021621 del 20 maggio 2016</w:t>
      </w:r>
    </w:p>
    <w:p>
      <w:pPr>
        <w:pStyle w:val="Heading2"/>
      </w:pPr>
      <w:r>
        <w:t>Erwägungen</w:t>
      </w:r>
    </w:p>
    <w:p>
      <w:r>
        <w:rPr>
          <w:b/>
        </w:rPr>
        <w:t>E. 20</w:t>
      </w:r>
    </w:p>
    <w:p>
      <w:r>
        <w:t>avril 2015 est contraire au droit. f) Compte tenu de l'issue du litige, la Cour de céans renonce à examiner plus avant les autres arguments invoqués par le recourant. De même, il n'y a pas lieu de donner suite aux mesures d'instruction requises par celui-ci. 5. a) En définitive, le recours, bien fondé, doit être admis et la décision sur opposition litigieuse réformée en ce sens que l’ouverture du délai-cadre d’indemnisation est fixée au 2 février 2015. b) La procédure étant gratuite (cf. art. 61 let. a LPGA), il n’y a pas lieu de percevoir de frais de justice. Le recours étant admis, le recourant a droit à des dépens (cf. art. 61 let. g LPGA et art. 55 LPA-VD), qu’il convient d’arrêter à 2’000 fr., à la charge de l’intimée. Par ces motifs, la juge unique p r o n o n c e : I. Le recours est admis. II. La décision sur opposition rendue le 20 avril 2015 par la Caisse cantonale de chômage, Division juridique, est réformée en ce sens que l’ouverture du délai-cadre d’indemnisation est fixée au 2 février 2015. III. Il n’est pas perçu de frais judiciaires.</w:t>
      </w:r>
    </w:p>
    <w:p>
      <w:r>
        <w:t>- 28 - IV. Une indemnité de 2’000 fr. (deux mille francs) est mise à la charge de la Caisse cantonale de chômage, Division juridique, à titre de dépens. La juge unique : La greffière : Du L’arrêt qui précède est notifié à : - Me Michel Chavanne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