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ZQ15.015388 vom 1. Februar 2016</w:t>
      </w:r>
    </w:p>
    <w:p>
      <w:r>
        <w:t>VD Tribunal cantonal, 2016-02-01, FR</w:t>
      </w:r>
    </w:p>
    <w:p>
      <w:r>
        <w:rPr>
          <w:b/>
        </w:rPr>
        <w:t xml:space="preserve">Quelle: </w:t>
      </w:r>
      <w:r>
        <w:t>https://mcp.opencaselaw.ch/entscheid/vd_gerichte_ZQ15.015388</w:t>
      </w:r>
    </w:p>
    <w:p>
      <w:r>
        <w:t>FR: VD_GERICHTE ZQ15.015388 du 1 février 2016</w:t>
      </w:r>
    </w:p>
    <w:p>
      <w:r>
        <w:t>IT: VD_GERICHTE ZQ15.015388 del 1 febbraio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d OACI [ordonnance fédérale du 31 août 1983 sur l’assurance-chômage obligatoire et l’indemnité en cas d’insolvabilité ; RS 837.02], applicable par renvoi de l’art. 128 al. 1 OACI), dans les trente jours suivant la notification de la décision sujette à recours (art. 60 al. 1 LPGA).</w:t>
      </w:r>
    </w:p>
    <w:p>
      <w:r>
        <w:t>- 5 - Dans le cas présent, le recours a été formé en temps utile, compte tenu des féries pascales (cf. art. 38 al. 4 let. a et 60 al. 2 LPGA) et dans le respect des formalités prévues par la loi (art. 61 let. b LPGA notamment), de sorte qu’il est recevable. Il y a donc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magistrat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110 V 48 consid. 4a ; RCC 1985 p. 53). b) Le litige porte en l’espèce sur la question de savoir si le droit du recourant à une indemnité pour insolvabilité est périmé et, cas échéant, s’il doit être protégé dans sa bonne foi en raison du comportement de l’intimée.</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w:t>
      </w:r>
    </w:p>
    <w:p>
      <w:r>
        <w:t>- 6 -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1bis). En principe l'indemnité en cas d'insolvabilité ne couvre que des créances de salaire qui portent sur un travail réellement fourni (ATF 132 V 82 consid. 3.1 et 125 V 492 consid. 3b ; Boris Rubin, Commentaire de la loi sur l’assurance-chômage, Genève/Zurich/Bâle 2014, n. 7 ad art. 52 p. 429) et non pas des prétentions en raison d'un congédiement du travailleur par l’employeur, laissant subsister un droit au salaire ou à une indemnité (ATF 121 V 377 ; 114 V 56 consid. 4 ; 111 V 269 consid. 1b et 110 V 30).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w:t>
      </w:r>
    </w:p>
    <w:p>
      <w:r>
        <w:t>- 7 - déterminante, et non celle de l’ouverture de la faillite (ATF 114 V 354; TF [Tribunal fédéral] 8C_541/2009 du 19 novembre 2009 consid. 5). Le délai de 60 jours prévu par l’art. 53 al. 1 LACI commence à courir le lendemain de la date de publication dans la Feuille officielle suisse du commerce (Rubin, op. cit., n. 9 ad art. 53 p. 434).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Le délai de l’art. 53 al. 3 LACI est un délai de fond (de droit matériel), de nature péremptoire (ATF 123 V 106 consid. 2a ; TFA [Tribunal fédéral des assurances] C 118/00 du 26 septembre 2000 ; Rubin, op. cit., n. 12 ad art. 53 p. 435), toutefois sujet à restitution lorsque l’assuré a été empêché sans sa faute d’agir à temps (ATF 131 V 454 consid. 3.1 et les références citées ; cf. art. 41 LPGA). c) En l’espèce, la faillite de V.________ SA a été prononcée avec effet au 6 juin 2014 et publiée dans la FOSC le 18 juillet 2014. Le délai de l’art. 53 al. 1 LACI a commencé à courir le lendemain et a ainsi expiré le 17 septembre 2014, soit le 61ème jour du délai. Dès lors, il était échu lorsque le recourant a sollicité l’octroi de l’indemnité en cas d’insolvabilité le 29 novembre 2014. Celui-ci n’a en outre pas adressé de demande d’indemnisation au sens de cette disposition à la Caisse cantonale de chômage dans le délai légal. La demande d’indemnité présentée par le recourant était donc tardive de sorte que son droit à la prestation sollicitée était périmé.</w:t>
      </w:r>
    </w:p>
    <w:p>
      <w:r>
        <w:t>- 8 -</w:t>
      </w:r>
    </w:p>
    <w:p>
      <w:r>
        <w:rPr>
          <w:b/>
        </w:rPr>
        <w:t>E. 4</w:t>
      </w:r>
    </w:p>
    <w:p>
      <w:r>
        <w:t>Le recourant allègue avoir reçu de faux renseignements de la part d’un collaborateur de la Caisse cantonale de chômage qui lui aurait affirmé qu’il pouvait prétendre au paiement d’une indemnité. En outre, il fait valoir que la Caisse lui a demandé des renseignements complémentaires par courrier du 11 décembre 2014 et qu’elle n’a pas indiqué à ce moment-là que sa demande était tardive. a)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la référence). Son contenu dépend entièrement de la situation concrète dans laquelle se trouve l'assuré, telle qu'elle est reconnaissable pour l'administration (TF 9C_865/2010 du 8 juin 2011 consid. 5.1 et la référence citée).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en particulier sur la procédure d'inscription et leur obligation de prévenir et d'abréger le chômage. Un défaut de renseignement par l’administration peut obliger celle-ci à consentir à un administré un avantage contraire à la</w:t>
      </w:r>
    </w:p>
    <w:p>
      <w:r>
        <w:t>- 9 - réglementation en vigueur à la condition que cinq conditions soient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Autrement dit, il doit exister un lien de causalité entre le faux renseignement obtenu et le préjudice subi par l’intéressé. Enfin, la réglementation ne doit pas avoir changé depuis le moment de ce comportement (pour le tout cf. ATF 131 II 627 consid. 6.1 et les références citées; ATF 131 V 472 consid. 5 ; cf. aussi, Rubin, op. cit., n. 64 ss ad art. 17 p. 214). b) Or, en l’espèce, le recourant n’allègue pas qu’il aurait cherché à obtenir des renseignements au sujet d’un éventuel droit à une indemnité en cas d’insolvabilité avant l’échéance du délai de 60 jours. Au contraire, il admet lui-même dans ses écritures s’être préoccupé de la procédure de faillite ainsi que de retrouver un emploi pendant la période suivant immédiatement la faillite de son employeur. Il a d’ailleurs conclu un nouveau contrat de travail valable dès le 1er juillet 2014. Selon ses dires, il n’a pris contact avec la Caisse qu’au mois de novembre 2014 après que l’institution supplétive LPP l’a informé de l’existence de la procédure d’indemnisation pour cause d’insolvabilité. Contrairement à ce qu’allègue le recourant, le fait d’avoir produit une créance dans la procédure de faillite ouverte à l’encontre de V.________ SA ne le dispensait pas d’entreprendre parallèlement des démarches auprès des autorités compétentes en matière de chômage. Il s’agit en effet de deux procédures distinctes. Peu importe donc qu’il ait produit sa créance dans la faillite de V.________ SA dans le délai de 60 jours dès la publication de celle-ci dans la FOSC. De même, il n’existe en cas de faillite d’une société aucune obligation légale pour les autorités</w:t>
      </w:r>
    </w:p>
    <w:p>
      <w:r>
        <w:t>- 10 - d’informer spontanément les travailleurs de celle-ci de leurs droits vis-à- vis de l’assurance-chômage. Il appartenait donc au recourant de se renseigner sur les démarches à entreprendre du point de vue de l’assurance-chômage suite à la faillite de la société qui l’employait. Dès lors, il apparaît que, même si le recourant avait été informé de l’existence du délai de péremption de l’art. 53 al. 1 LACI et de ses conséquences au moment où il s’est adressé à la Caisse, sa demande aurait été périmée. On ne se trouve donc pas dans une situation où, fort des assurances reçues, un assuré aurait laissé passer un délai péremptoire (cf. TF 2C_40/2010 du 28 mai 2010 consid. 5.2 et les références citées). En l’espèce, il n’y a pas de lien de causalité entre l’éventuelle obligation de renseigner et le préjudice subi puisque le délai de l’art. 53 al. 1 LACI était déjà échu au moment où le recourant a sollicité des renseignements de la part de la Caisse. Point n’est donc besoin d’examiner plus avant si, comme le recourant le prétend, le collaborateur de la Caisse n’a pas d’emblée attiré son attention sur ce point ou lui a indiqué que sa demande n’était pas tardive s’il avait produit sa créance dans le cadre de la faillite. En outre, même si on peut regretter que la Caisse n’ait pas rendu le recourant attentif au caractère tardif de sa demande au plus tard après avoir reçu la demande écrite du 29 novembre 2014, on ne saurait non plus déduire du courrier du 11 décembre 2014, par lequel la Caisse a demandé des renseignements complémentaires au recourant sans émettre de réserve sur la recevabilité de sa demande d’indemnisation, que la Caisse renonçait à se prévaloir de la tardiveté de dite demande. En effet, le délai de l’art. 53 al. 1 LACI est un délai de péremption, laquelle doit être constatée d’office et entraîne la déchéance du droit (cf. Rubin, op. cit., n. 12 ad art. 53 LACI). Tout en déplorant le manque de collaboration de la Caisse dans la procédure devant la Cour de céans, on doit donc en l’espèce constater que la demande du recourant était de toute manière périmée. On peut donc se dispenser d’ordonner des mesures d’instruction</w:t>
      </w:r>
    </w:p>
    <w:p>
      <w:r>
        <w:t>- 11 - complémentaires – et notamment l’audition du collaborateur concerné – dans la mesure où le dossier, même incomplet, permet à l’autorité de céans de statuer en toute connaissance de cause sur les droits de l’assuré.</w:t>
      </w:r>
    </w:p>
    <w:p>
      <w:r>
        <w:rPr>
          <w:b/>
        </w:rPr>
        <w:t>E. 5</w:t>
      </w:r>
    </w:p>
    <w:p>
      <w:r>
        <w:t>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 r o n o n c e : I. Le recours est rejeté. II. La décision sur opposition rendue le 31 mars 2015 par la Caisse cantonale de chômage, Division juridique, est confirmée. III. Il n’est pas perçu de frais judiciaires, ni alloué de dépens. Le juge unique : Le greffier : Du</w:t>
      </w:r>
    </w:p>
    <w:p>
      <w:r>
        <w:t>- 12 - L'arrêt qui précède est notifié à : - M.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