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ZQ15.014909 vom 22. Februar 2016</w:t>
      </w:r>
    </w:p>
    <w:p>
      <w:r>
        <w:t>VD Tribunal cantonal, 2016-02-22, FR</w:t>
      </w:r>
    </w:p>
    <w:p>
      <w:r>
        <w:rPr>
          <w:b/>
        </w:rPr>
        <w:t xml:space="preserve">Quelle: </w:t>
      </w:r>
      <w:r>
        <w:t>https://mcp.opencaselaw.ch/entscheid/vd_gerichte_ZQ15.014909</w:t>
      </w:r>
    </w:p>
    <w:p>
      <w:r>
        <w:t>FR: VD_GERICHTE ZQ15.014909 du 22 février 2016</w:t>
      </w:r>
    </w:p>
    <w:p>
      <w:r>
        <w:t>IT: VD_GERICHTE ZQ15.014909 del 22 febbraio 2016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a) En définitive, le recours, mal fondé, doit être rejeté et la décision attaquée confirmée.</w:t>
      </w:r>
    </w:p>
    <w:p>
      <w:r>
        <w:t>- 21 - b) Il n'y a pas lieu de percevoir de frais judiciaires, la procédure étant gratuite (cf. art. 61 let. a LPGA), ni d'allouer de dépens, dès lors que la recourante n'obtient pas gain de cause (cf. art. 55 al. 1 LPA-VD ; cf. 61 let. g LPGA).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