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ZQ14.032194 vom 2. Juni 2016</w:t>
      </w:r>
    </w:p>
    <w:p>
      <w:r>
        <w:t>VD Tribunal cantonal, 2016-06-02, FR</w:t>
      </w:r>
    </w:p>
    <w:p>
      <w:r>
        <w:rPr>
          <w:b/>
        </w:rPr>
        <w:t xml:space="preserve">Quelle: </w:t>
      </w:r>
      <w:r>
        <w:t>https://mcp.opencaselaw.ch/entscheid/vd_gerichte_ZQ14.032194</w:t>
      </w:r>
    </w:p>
    <w:p>
      <w:r>
        <w:t>FR: VD_GERICHTE ZQ14.032194 du 2 juin 2016</w:t>
      </w:r>
    </w:p>
    <w:p>
      <w:r>
        <w:t>IT: VD_GERICHTE ZQ14.032194 del 2 giugno 2016</w:t>
      </w:r>
    </w:p>
    <w:p>
      <w:pPr>
        <w:pStyle w:val="Heading2"/>
      </w:pPr>
      <w:r>
        <w:t>Erwägungen</w:t>
      </w:r>
    </w:p>
    <w:p>
      <w:r>
        <w:rPr>
          <w:b/>
        </w:rPr>
        <w:t>E. 15</w:t>
      </w:r>
    </w:p>
    <w:p>
      <w:r>
        <w:t>janvier 2014, en ce sens que la suspension infligée était aggravée à neuf jours. Il a retenu à cette fin que l’assuré n’avait en définitive attesté que de quatre recherches personnelles d’emploi d’octobre à décembre 2013, y inclus les démarches ayant abouti à son nouveau contrat avec l’Ecole C.________. Ses arguments afférents au processus de démarchage spécifique à son secteur d’activités ne pouvaient justifier son comportement, dans la mesure où il aurait dû au contraire intensifier ses offres de service à l’approche du terme de son contrat de travail. Par ailleurs, les directives administratives imposaient une sanction oscillant entre neuf et douze jours de suspension en cas de recherches insuffisantes sur une période de trois mois précédant le terme d’un contrat de durée déterminée. F. L’assuré a déféré la décision sur opposition du 16 juin 2014 à la Cour des assurances sociales du Tribunal cantonal par acte de recours du 7 août 2014, concluant implicitement à son annulation. Il a pour l’essentiel réitéré les arguments précédemment évoqués eu égard aux particularités du secteur académique et à sa situation familiale, laquelle n’avait pas été prise en considération par l’intimé. Se basant sur la lettre des directives administratives, il a souligné s’être conformé à son obligation de réduire le dommage en ayant commencé ses recherches</w:t>
      </w:r>
    </w:p>
    <w:p>
      <w:r>
        <w:t>- 6 - d’emploi plus d’un an avant les faits litigieux et a derechef joint la liste des personnes contactées entre juillet 2012 et décembre 2013. Il a reproché au SDE de ne pas avoir usé de son pouvoir d’appréciation pour tenir compte de la spécificité de son cas, alors que des offres de services concentrées sur les trois mois précédant la fin de son contrat de travail aurait été contreproductives. Il a rappelé en outre que ses efforts avaient été fructueux puisqu’il n’avait émargé à l’assurance que durant une période de deux mois, au cours de laquelle il lui aurait de toute façon été quasiment impossible de déployer une activité dans son domaine de compétences. Enfin, il a sollicité une nouvelle opportunité de retirer son opposition, la correspondance du SDE du 26 mai 2014 lui étant parvenue le 28 mai 2014, soit à la veille d’une période de vacances. L’intimé a produit sa réponse au recours le 16 septembre 2014, en proposant le rejet. Il a maintenu que le comportement de l’assuré pendant la période précédant le chômage justifiait une sanction, tandis que l’intensification d’offres de services spontanées s’avérait exigible entre octobre et décembre 2013. Le recourant aurait en outre pu élargir le champ de ses cibles professionnelles pour tenter d’éviter le chômage. Sa situation familiale était sans incidence dans ce contexte, des recherches personnelles d’emploi devant être effectuées même en cas d’emploi à plein temps. Eu égard à la possibilité de retirer l’opposition introduite le</w:t>
      </w:r>
    </w:p>
    <w:p>
      <w:r>
        <w:rPr>
          <w:b/>
        </w:rPr>
        <w:t>E. 17</w:t>
      </w:r>
    </w:p>
    <w:p>
      <w:r>
        <w:t>février 2014, le SDE a relevé que le délai octroyé était largement suffisant pour permettre au recourant de communiquer sa détermination, ce dernier devant au demeurant s’attendre à recevoir des correspondances en lien avec la procédure d’opposition introduite par ses soins. Par réplique du 14 octobre 2014, l’assuré a maintenu ses conclusions, ajoutant que les efforts entrepris durant la période de trois mois précédant son chômage lui avaient permis de garantir un emploi futur durant l’année 2015.</w:t>
      </w:r>
    </w:p>
    <w:p>
      <w:r>
        <w:t>- 7 - Le 24 octobre 2014, le SDE a indiqué ne pas avoir de remarques particulières à formuler, de sorte que la cause a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w:t>
      </w:r>
    </w:p>
    <w:p>
      <w:r>
        <w:t>- 8 - c) En l’espèce, le recours a été déposé auprès du tribunal compétent en temps utile, compte tenu des féries judiciaires estivales (art. 38 al. 4 let. b LPGA, sur renvoi de l’art. 60 al. 2 LPGA). Il respecte par ailleurs les formes prescrites par la loi, de sorte qu’il est recevable. d) La valeur litigieuse étant ex lege inférieure à 30'000 fr. au vu du nombre de jours de suspension litigieux,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présent litige porte sur le point de savoir si l’intimé était fondé à réformer la décision initiale rendue le 15 janvier 2014 par l’ORP en prononçant une suspension du droit à l’indemnité du recourant pour une durée de neuf jours, au motif que ses recherches d’emploi durant la période précédant son chômage n’étaient pas suffisantes. Le recourant fait par ailleurs grief à l’ORP d’avoir violé son droit d’être entendu préalablement à l’émission de la décision de sanction du 15 janvier 2014, ce qui justifierait son annulation. En outre, il estime que la correspondance du SDE du 26 mai 2014 lui offrant la possibilité de retirer son opposition – qui lui était parvenue durant une période de vacances – ne lui aurait pas laissé suffisamment de temps pour se déterminer, de sorte que cette possibilité devrait à nouveau lui être offerte.</w:t>
      </w:r>
    </w:p>
    <w:p>
      <w:r>
        <w:t>- 9 - 3. Il convient en premier lieu d’examiner le grief formel de la violation du droit d’être entendu, soulevé par l’assuré au stade de la procédure d’opposition auprès de l’intimé. a) L'art. 29 al. 2 Cst. (Constitution fédérale de la Confédération suisse du 18 avril 1999 ; RS 101) garantit aux parties à une procédure judiciaire ou administrative le droit d'être entendues (cf. également dans le cadre des procédures devant les assureurs sociaux, l'art. 42 LPGA). b) La jurisprudence, rendue sous l'empire de l'art. 4 aCst. et qui s'applique également à l'art. 29 al. 2 Cst. (ATF 129 II 504 consid. 2.2 ; 127 I 56 consid. 2b ; 127 III 578 consid. 2c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124 V 181 consid. 1a ; 375 consid. 3b et les références). Le droit d'être entendu comporte également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[Tribunal fédéral]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 Le juge, respectivement l'administration, n’a toutefois pas l’obligation d’exposer et de discuter tous les arguments invoqués par les</w:t>
      </w:r>
    </w:p>
    <w:p>
      <w:r>
        <w:t>- 10 -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Le droit d'être entendu est une garantie constitutionnelle de caractère formel, dont la violation doit en principe entraîner l'annulation de la décision attaquée indépendamment des chances de succès du recourant sur le fond. A teneur de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137 I 195 consid. 2.3.2 ; 135 I 279 consid. 2.6.1 ; 135 V 387 consid. 5.1 ; 127 V 431 consid. 3d/aa ; TF 8C_1001/2008 du 31 juillet 2009 consid. 2.2 et les références citées). c) On ajoutera que le Secrétariat d’Etat à l’économie (ci- après : le SECO) a édicté des directives à l’attention de l’administration en sa qualité d’autorité de surveillance, lesquelles concrétisent notamment le droit d’être entendu de l’assuré (cf. Bulletin LACI-IC, octobre 2011, chiffres D8 et D9). Les chiffres D8 et D9 du Bulletin LACI-IC précité prévoient en effet ce qui suit : « Dans le cadre de l'enquête destinée à déterminer si la faute de l'assuré est suffisamment grave pour justifier une sanction, l'instance compétente doit donner à l'assuré l'occasion de s'exprimer avant de rendre une décision. L'art. 42 LPGA prévoit certes qu'il n'est pas nécessaire d'entendre l'assuré avant une décision sujette à opposition. Toutefois, dans la procédure de suspension du droit à l'indemnité, le respect du droit d'être entendu est indispensable pour permettre une appréciation globale des faits et décider si et dans quelle mesure l'assuré doit être suspendu. […]</w:t>
      </w:r>
    </w:p>
    <w:p>
      <w:r>
        <w:t>- 11 - L'assuré doit pouvoir s'exprimer sur le comportement qui lui est reproché et, le cas échéant, exposer des motifs supplémentaires à sa décharge. »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 d) In casu, il n’est pas contesté que l’ORP n’a pas expressément donné au recourant la possibilité de s’exprimer avant que ne fût établie la décision de sanction du 15 janvier 2014, la conseillère en placement en charge du dossier de l’assuré ayant réceptionné les offres qualifiées d’insuffisantes à la date du premier entretien de conseil le 13 janvier 2014. Le cas a ainsi immédiatement fait l’objet d’une sanction, sans que l’assuré n’eût été sollicité pour compléter le formulaire récapitulant ses offres de service pour la période précédant le chômage, ni exposer ses arguments. On peut certes s’interroger sur la conformité de ce procédé avec la jurisprudence rappelée supra et les directives du SECO, lesquelles ne paraissent tolérer le prononcé automatique d’une sanction que pour la violation des règles afférentes à la remise des recherches d’emploi en cours de chômage. Cela étant, cette question peut demeurer ouverte dès lors que l’assuré a eu l’opportunité de faire valoir ses arguments et d’attester de</w:t>
      </w:r>
    </w:p>
    <w:p>
      <w:r>
        <w:t>- 12 - recherches d’emploi supplémentaires avant son chômage à l’occasion de la procédure d’opposition initiée auprès du SDE. Qui plus est, il a été en mesure d’attaquer la décision sur opposition du 16 juin 2014 et de réitérer l’ensemble de ses griefs auprès de la Cour de céans, laquelle est dotée d’un plein pouvoir d’examen. Partant, le manquement dont se prévaut le recourant ne saurait justifier l’annulation de la décision de sanction pour ce motif formel dans la mesure où les vices l’affectant éventuellement sont susceptibles d’être réparés par l’intimé, respectivement par la Cour de céans. 4. En second lieu, il s’agit de déterminer si l’intimé a respecté la procédure applicable en cas de reformatio in pejus, soit de statuer sur la requête de l’assuré tendant à l’octroi d’un nouveau délai pour retirer son opposition, laquelle impliquerait l’annulation de la décision sur opposition querellée pour un autre motif d’ordre formel. a) L’art. 12 OPGA (ordonnance du 11 septembre 2002 sur la partie générale du droit des assurances sociales ; RS 830.11) a codifié la jurisprudence rendue antérieurement à son entrée en vigueur (ATF 118 V 182). Cette disposition prévoit expressément que l’assureur n’est pas lié par les conclusions de l’opposant. Il peut modifier la décision à l’avantage ou au détriment de l’opposant (al. 1). Si l’assureur envisage de modifier la décision au détriment de l’opposant, il donne à ce dernier l’occasion de retirer son opposition (al. 2). b) De jurisprudence constante,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w:t>
      </w:r>
    </w:p>
    <w:p>
      <w:r>
        <w:t>- 13 -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 117 V 132 consid. 4a ; 113 Ib 298 consid. 2a). c) En l’espèce, il apparaît que l’intimé a dûment informé le recourant, par correspondance du 26 mai 2014, de son intention de réformer à son détriment la décision du 15 janvier 2014, suite à la procédure d’opposition dont il a été saisi. Un délai fixé au 10 juin 2014 était imparti à l’assuré pour se déterminer à cet égard, conformément au réquisit de l’art. 12 al. 2 OPGA. Quand bien même le courrier précité n’a vraisemblablement pas été adressé à l’assuré en courrier recommandé, ce dernier a concédé, aux termes de son écriture de recours du 7 août 2014, l’avoir reçu en date du 28 mai 2014, à l’orée d’une période de vacances compte tenu de la perspective de deux weekends prolongés (Ascension et Pentecôte). Il estime toutefois que vu cette période de vacances, il n’a pas été en mesure de répondre en temps utile à l’intimé. Les arguments de l’assuré dans ce contexte ne sauraient manifestement justifier l’annulation de la décision sur opposition du 16 juin 2014, ni l’octroi d’une nouvelle opportunité de retirer son opposition. En effet, ainsi que le rappelle la jurisprudence fédérale susmentionnée, il ne fait pas de doute qu’il appartenait au recourant de prendre toutes dispositions utiles en cas d’absence de sa part pour participer néanmoins à la procédure d’opposition qu’il avait lui-même initiée. Il lui était parfaitement loisible de contacter le SDE et de solliciter une prolongation du délai pour se déterminer, alors même que l’intervalle accordé par l’intimé paraissait approprié et suffisant pour réfléchir en toute connaissance de cause au maintien ou non de la procédure en cours.</w:t>
      </w:r>
    </w:p>
    <w:p>
      <w:r>
        <w:t>- 14 - La requête du recourant tendant à l’octroi d’un nouveau délai pour retirer son opposition, soit implicitement à l’annulation de la décision sur opposition incriminée sur le plan formel, ne peut donc qu’être rejetée. Cela étant, cet aspect demeure de toute façon sans incidence sur l’issue du litige au fond, étant donné les développements ci-après. 5.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w:t>
      </w:r>
    </w:p>
    <w:p>
      <w:r>
        <w:t>- 15 - diminuer le dommage (Boris Rubin, Commentaire de la loi sur l’assurance- chômage, Genève/Zurich/Bâle 2014, n. 4 ad art. 17, p. 197). c) Sur un plan temporel, l'obligation de rechercher un emploi prend déjà naissance avant la survenance effective du chômage, en particulier dès que le moment de l’inscription à l’assurance est prévisible et relativement proche (Boris Rubin, op. cit., n. 9 ad art. 17 p.198 et les références). Il s’agit là d’une règle élémentaire de comportement, de sorte qu’un assuré doit être sanctionné même s’il n’a pas été renseigné précisément sur les conséquences de son inaction (ATF 124 V 225 consid. 5b ; TF [Tribunal fédéral] 8C_271/2008 du 25 septembre 2008 consid. 2.1). L’obligation de rechercher un emploi vaut bien entendu en fin de rapport de travail de durée indéterminée ; un assuré doit ainsi rechercher un emploi pendant le délai de congé, dès la signification de celui-ci (Boris Rubin, op. cit., n. 10 ad art. 17 p. 199 et les références ; ATF 139 V 524 consid. 2.1.2 ; TFA [Tribunal fédéral des assurances]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Boris Rubin, op. cit., n. 12 ad art. 17 p. 199).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w:t>
      </w:r>
    </w:p>
    <w:p>
      <w:r>
        <w:t>- 16 -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Les recherches d’emploi doivent porter, dans un premier temps, sur les activités de prédilection, sauf si lesdites activités sont touchées par le chômage (DTA 1979 p. 56). Dans un second temps, les recherches d’emploi doivent également porter sur d’autres activités que celle exercée précédemment. Cette obligation d’élargir le champ des recherches de travail vaut également pour les personnes actives dans des domaines où le marché du travail est étroit (p. ex. spécialistes, intermittents du spectacle, etc.), et ce même si les personnes en question ont investi beaucoup de temps et d’argent dans leur formation (TF C 244/05 du</w:t>
      </w:r>
    </w:p>
    <w:p>
      <w:r>
        <w:rPr>
          <w:b/>
        </w:rPr>
        <w:t>E. 22</w:t>
      </w:r>
    </w:p>
    <w:p>
      <w:r>
        <w:t>novembre 2006 consid. 2). Les emplois ne peuvent pas être sélectionnés en fonction du standing désiré par l’assuré (DTA 1966 p. 71 ; cf. Boris Rubin, op. cit., n. 27 ad art. 17, p. 203).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 adaptées aux spécificités des activités recherchées. Une méthode particulière, telle que l’activation de réseau, ne cadre pas avec les</w:t>
      </w:r>
    </w:p>
    <w:p>
      <w:r>
        <w:t>- 17 - exigences de preuve de l’art. 26 al. 1 OACI, sans pour autant être de nature à remettre en cause l’aptitude au placement (TF 8C_761/2009 du</w:t>
      </w:r>
    </w:p>
    <w:p>
      <w:r>
        <w:rPr>
          <w:b/>
        </w:rPr>
        <w:t>E. 23</w:t>
      </w:r>
    </w:p>
    <w:p>
      <w:r>
        <w:t>décembre 2009 consid. 3.3 ; cf. Boris Rubin, op. cit., n. 26 ad art. 17, p. 203). On ajoutera qu’une sanction ne se justifie en principe pas lorsque l’assuré met un terme à son chômage dans un bref délai grâce à ses recherches, même réputées insuffisantes, faute de lien de causalité, mais pour autant qu’il bénéficie d’un engagement ferme (TFA C 275/02 du 2 mai 2003 consid. 2 a contrario).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t>- 18 - 7. En l’espèce, on peut convenir avec l’intimé que le recourant n’a attesté que de quatre recherches personnelles d’emploi dans les trois derniers mois précédant son chômage, lesquels correspondent aux trois derniers mois de son contrat de travail de durée déterminée, ce qui apparaît a priori insuffisant au regard de la jurisprudence fédérale exposée supra sous considérant 6. On peut également se rallier à l’appréciation du SDE, en ce qu’il a considéré que la situation familiale de l’assuré n’avait pas d’incidence sur son obligation de recherche d’emploi, étant en effet rappelé que même une personne exerçant à plein temps est en principe astreinte à cette obligation, indépendamment de circonstances familiales particulières. Cependant, le recourant expose à juste titre avoir débuté ses efforts plus d’un an avant la période examinée, étant donné les contingences du secteur académique. Il a du reste été en mesure de compléter la liste de ses postulations, dont l’intimé avait la faculté d’éprouver la véracité en instruisant plus avant. On ne saurait reprocher à l’assuré dans ce cadre d’avoir ciblé ses recherches à son domaine d’activités, d’autant qu’il avait obtenu, au sortir de ses études, de rentrer dans le milieu académique grâce à plusieurs contrats de durée déterminée, renouvelés à réitérées reprises. Par ailleurs, il convient tout particulièrement de mettre en exergue, dans ce contexte, le fait que l’assuré, manifestement actif et motivé, a obtenu le maintien de son activité dès le 1er janvier 2014, en dépit de son taux réduit, ce qui lui a permis de réaliser un gain intermédiaire pendant son chômage. Singulièrement, il s’est annoncé au chômage tout en disposant d’une offre d’emploi ferme, à court terme, soit dès le 1er mars 2014, assurant sa réintégration du marché du travail à très brève échéance par ses propres moyens, ce dont l’ORP a d’ailleurs dûment pris acte à l’occasion du premier entretien de conseil.</w:t>
      </w:r>
    </w:p>
    <w:p>
      <w:r>
        <w:t>- 19 - Compte tenu de telles circonstances, soit d’une recherche de travail active et régulière sur une longue période d’activité sous contrats de durée déterminée et d’un chômage de très courte durée en raison d’un emploi convenable garanti à brève échéance dès l’inscription à l’assurance, il n’y a pas lieu de reprocher au recourant d’avoir failli à son obligation de diminuer le dommage à l’égard de l’assurance-chômage. Faute de lien de causalité entre le comportement de l’assuré et une période de chômage de très courte durée, il s’ensuit qu’aucune sanction ne devait être prononcée à son encontre. 8. Fondé, le recours devra en conséquence être admis et la décision sur opposition querellée annulée, tout comme la sanction qu’elle recouvre, dont il s’avère superflu d’examiner la quotité. Il n’y a pas lieu de percevoir de frais judiciaires, la procédure étant gratuite (art. 61 let. a LPGA), ni d’allouer de dépens, dès lors que le recourant n’est pas assisté d’un mandataire professionnel (art. 61 let. g LPGA). Par ces motifs, le juge unique p r o n o n c e : I. Le recours est admis. II. La décision sur opposition rendue le 16 juin 2014 par le Service de l’emploi, Instance Juridique Chômage, est annulée. III. Il n’est pas perçu de frais judiciaires, ni alloué de dépens. Le juge unique : La greffière : Du</w:t>
      </w:r>
    </w:p>
    <w:p>
      <w:r>
        <w:t>- 20 -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