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ZQ14.025408 vom 10. November 2014</w:t>
      </w:r>
    </w:p>
    <w:p>
      <w:r>
        <w:t>VD Tribunal cantonal, 2014-11-10, FR</w:t>
      </w:r>
    </w:p>
    <w:p>
      <w:r>
        <w:rPr>
          <w:b/>
        </w:rPr>
        <w:t xml:space="preserve">Quelle: </w:t>
      </w:r>
      <w:r>
        <w:t>https://mcp.opencaselaw.ch/entscheid/vd_gerichte_ZQ14.025408</w:t>
      </w:r>
    </w:p>
    <w:p>
      <w:r>
        <w:t>FR: VD_GERICHTE ZQ14.025408 du 10 novembre 2014</w:t>
      </w:r>
    </w:p>
    <w:p>
      <w:r>
        <w:t>IT: VD_GERICHTE ZQ14.025408 del 10 novembre 2014</w:t>
      </w:r>
    </w:p>
    <w:p>
      <w:pPr>
        <w:pStyle w:val="Heading2"/>
      </w:pPr>
      <w:r>
        <w:t>Erwägungen</w:t>
      </w:r>
    </w:p>
    <w:p>
      <w:r>
        <w:rPr>
          <w:b/>
        </w:rPr>
        <w:t>E. 31</w:t>
      </w:r>
    </w:p>
    <w:p>
      <w:r>
        <w:t>mars 2015 ce qui représentait 1125 heures consacrées à ses études, soit près de 18 heures de travail par semaine. Sur une semaine de 42 heures demeurait une disponibilité de 60% pour l’exercice d’une activité salariée. Il a remarqué au surplus qu’il se justifiait de déterminer cette disponibilité sur la base des données objectives, fournies par l’Université de [...], notamment sur son site internet, mettant en exergue la jurisprudence contenue dans l’arrêt fédéral C 116/06 du 8 août 2006. L’assurée a été appelée en cause par le juge instructeur en date du 25 juin 2014 et s’est déterminée par écriture du 30 juillet 2014, concluant au rejet du recours interjeté par le SECO. Elle a fait valoir que ce dernier ne procédait – à son sens à tort – à aucune distinction entre les heures d’enseignement et les heures de travail personnel, ces dernières étant au demeurant dégagées sur le temps libre et les loisirs, non pas sur le temps de travail disponible pour un potentiel employeur. Elle a également</w:t>
      </w:r>
    </w:p>
    <w:p>
      <w:r>
        <w:t>- 6 - souligné que le cursus poursuivi s’inscrivait dans le contexte d’une formation continue, destinées à des étudiants en emploi, éventuellement à plein temps. En date du 14 août 2014, l’intimé a préavisé le rejet du recours, en se référant aux arguments développés dans sa décision sur opposition du 21 mai 2014. Le SECO et l’intimé ont indiqué ne pas avoir d’observations complémentaires à formuler par plis respectifs des 26 août 2014 et 4 septembre 2014.</w:t>
      </w:r>
    </w:p>
    <w:p>
      <w:r>
        <w:t>- 7 - E n d r o i t : 1. 1.1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En vertu de l’art. 102 al. 1 LACI, le SECO a également qualité pour recourir devant les tribunaux cantonaux des assurances contre les décisions des autorités cantonales, des offices régionaux de placement et des caisses.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porte sur une valeur litigieuse inférieure à 30'000 fr., dans la mesure où l’enjeu du recours a trait à une disponibilité à l’emploi diminuée de 20% ou de 30% par rapport à la décision du SDE du</w:t>
      </w:r>
    </w:p>
    <w:p>
      <w:r>
        <w:t>- 8 - 3 janvier 2014, à laquelle l’appelée en cause s’est ralliée. Dès lors, la cause est de la compétence du juge unique (art. 94 al. 1 let. a LPA-VD). 1.3 Déposé en temps utile par le SECO qui a qualité pour recourir, dans les formes prévues par la loi (cf. art. 61 let. b LPGA), le recours est recevable, de sorte qu'il y a lieu d'entrer en matière sur le fond. 2. In casu, il est incontesté par les parties que l’assurée est apte au placement au sens entendu par l’art. 15 al. 1 LACI. Demeure en revanche litigieux le taux de disponibilité qu’elle est susceptible de consacrer à une activité lucrative salariée en parallèle à la formation continue entamée auprès de l’Université de [...] dès le 9 janvier 2014, singulièrement la fixation de ce taux à 80% par le SDE. Il s’agit dès lors de se prononcer sur la disponibilité de l’assurée à compter du mois de janvier 2014, soit dès le début du cursus entrepris, en se plaçant à la date de la décision querellée rendue le 3 janvier 2014, confirmée sur opposition le 21 mai 2014, et en raisonnant de manière prospective sur la base des faits tels qu’ils se sont déroulés jusqu’alors (cf. ATF 120 V 385 consid. 2).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3.1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w:t>
      </w:r>
    </w:p>
    <w:p>
      <w:r>
        <w:t>- 9 - employeurs potentiels. L’aptitude au placement impose également que l’assuré soit en droit d’exercer une activité lucrative, notamment par exemple au regard du droit des étrangers (ATF 125 V 51 consid. 6a ; 123 V 214 consid. 3 ; TF [Tribunal fédéral] 8C_330/2011 du 26 janvier 2012 consid. 3 ; TFA [Tribunal fédéral des assurances] C 138/01 du 10 décembre 2001 consid. 1b).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 TF 8C_330/2011 du 26 janvier 2012 consid. 3 précités). 3.2 Partant de ces principes,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 108 V 100). 3.3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w:t>
      </w:r>
    </w:p>
    <w:p>
      <w:r>
        <w:t>- 10 - accepter un travail convenable et il est apte au placement, soit il ne l’est pas et doit être déclaré inapte au placement (ATF 125 V 51 consid. 6a).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3.4 Par ailleurs, si 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consid.4 ; TF 8C_466/2010 du 8 février 2011 consid. 4.2 et références citées). Pour juger si l’assuré remplit cette condition,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 ci ; comportement de l’assuré. Les éléments objectifs sont donc déterminants (TF 8C_933/2008 du 27 avril 2009 consid. 4.3.1 ; Boris Rubin, Commentaire de la loi sur l’assurance-chômage, Genève / Zurich / Bâle 2014, n° 50 ad art. 15 al. 1 LACI).</w:t>
      </w:r>
    </w:p>
    <w:p>
      <w:r>
        <w:t>- 11 - 3.5 Quant aux directives administratives, édictées par le SECO, elles rappellent que la volonté de l’assuré d’accepter une activité salariée est un élément fondamental de l’aptitude au placement. Il ne suffit pas que l’assuré déclare qu’il est disposé à être placé. Il doit se mettre à la disposition du service de l’emploi et accpeter tout travail réputé convenable qui lui est offert. Il doit également chercher activement un emploi et participer à une mesure de réinsertion (Bulletin LACI IC, octobre 2012, chiffre B219). Si l’assuré suit pendant son chômage un cours qui n’a pas été approuvé par l’assurance-chômage, son aptitude au placement lui sera reconnue uniquement s’il est établi qu’il est disposé et en mesure d’interrompre le cours en tout temps pour prendre un emploi (Bulletin LACI IC, octobre 2012, chiffre B265). 4. 4.1 In casu, il a été établi que l’assurée est disposée à accepter un travail convenable et à participer à des mesures d’intégration, alors qu’elle est parfaitement en mesure et en droit de le faire. L’on relèvera d’ailleurs qu’elle est assignée depuis le 24 février 2014 à un second programme d’emploi temporaire (PET) à 50% d’une durée de six mois selon décision de l’ORP du 4 mars 2014, dans le cadre duquel aucune défection de sa part n’a été constatée à ce stade selon les pièces du dossier produit par l’intimé. Quand bien même elle poursuit de son propre chef et assume les frais d’une formation continue en parallèle au PET, elle ne se trouve dès lors pas dans la situation d’un étudiant qui ne serait disponible pour un emploi que durant de brèves périodes. Son aptitude au placement est ainsi incontestable et au demeurant à juste titre, non contestée par le SECO.</w:t>
      </w:r>
    </w:p>
    <w:p>
      <w:r>
        <w:t>- 12 - 4.2 S’agissant du taux de disponibilité revendiqué par l’appelée en cause et retenu par l’intimé aux termes de la décision litigieuse, l’on observera que le taux de 80% est déduit du planning de la formation que l’assurée a décidé d’entreprendre dès janvier 2014. Il ressort des pièces produites à la demande du SDE, ainsi que des informations contenues sur le site internet de l’Université de [...], que le cursus en cause, poursuivi durant deux ans pour un coût total de 15'000 fr., est dispensé les jeudis et vendredis toute la journée, ainsi que les samedis matins, à concurrence de deux semaines par mois au maximum. Ce cursus constitue en outre clairement une formation dite « continue » en ce sens qu’il s’adresse à des participants âgés de 25 à 55 ans, issus de milieux professionnels spécifiques et pour la plupart en cours d’emploi. Le site internet de l’Université de [...] précise d’ailleurs que « la priorité est donnée aux candidats ayant de l’expérience et un solide projet professionnel dans le domaine de la spécialisation choisie » (cf. rubrique « Conditions d’admission »). L’obtention du MAS impose en outre l’obtention de 60 crédits ECTS, impliquant en tout 1800 heures de travail, comme l’a souligné le recourant (cf. rubrique « Structure et déroulement des cours »). A l’instar de l’intimé, il convient de fixer la disponibilité à l’emploi litigieuse sur la base des circonstances concrètes, soit en fonction du planning de la formation en cause, mais également en fonction des exigences de potentiels employeurs du domaine de compétences de l’assurée. Il apparaît en général que dans les activités du secteur des ressources humaines et de la psychologie, la semaine de cinq jours travaillés est d’usage. Dans ce contexte, l’assurée est en mesure d’assumer cinq journées de travail complet durant deux à trois semaines par mois, tandis que sa disponibilité est restreinte à trois journées de travail complet durant une à deux semaines par mois.</w:t>
      </w:r>
    </w:p>
    <w:p>
      <w:r>
        <w:t>- 13 - Dès lors, force est d’en déduire qu’elle est parfaitement en mesure de satisfaire aux exigences d’une activité lucrative salariée à un taux de 80%, déployée en fonction du planning de sa formation, tout en étant capable dans cette limite d’assurer sa présence durant au moins deux semaines complètes par mois. En dépit de ce que soutient le recourant, l’on ne voit pas que les heures de travail personnel devraient être comptabilisées mathématiquement au détriment de l’appelée en cause en déduction des heures potentielles de travail, tant il est vrai que ces heures-là peuvent être dégagées durant les week-ends et les soirées, soit sur le temps libre de l’assurée. Cette conclusion s’impose au demeurant pour tenir compte de la réalité des personnes poursuivant une formation continue en cours d’emploi, les cursus corrélatifs étant dans la règle précisément conçus pour ne pas entraver les obligations professionnelles et permettre aux étudiants de se consacrer à leur travail personnel sur le temps libre. Dès lors, le calcul opéré par le recourant – certes fondé sur les données objectives ressortant du descriptif de formation de l’Université de [...] – fait fi des circonstances concrètes du cas d’espèce et de la disponibilité effective de l’appelée en cause, de même d’ailleurs que des caractéristiques de toute formation continue, poursuivie le plus souvent en cours d’emploi. 4.3 L’on relèvera enfin qu’il n’y a pas lieu de faire application de la jurisprudence citée supra en lien avec l’abandon exigible de la formation entreprise, ni d’ailleurs de celle citée expressément par le SECO aux termes de son mémoire de recours du 20 juin 2014 in TFA 116/06 du 8 août 2006, dans la mesure où la question du présent litige a trait au degré de disponibilité à l’emploi, et non pas strictement à l’aptitude ou l’inaptitude au placement de l’appelée en cause.</w:t>
      </w:r>
    </w:p>
    <w:p>
      <w:r>
        <w:t>- 14 - Dans l’arrêt mis en exergue par le recourant, le Tribunal fédéral des assurances a en effet tranché la situation d’un assuré qui poursuivait une formation universitaire de base à plein temps (« Vollzeit- Studium ») en vue de l’obtention d’un bachelor, dont les recherches d’emploi étaient régulièrement insuffisantes, et qui n’était plus en mesure d’assurer une activité lucrativité salariée, fût-ce à temps partiel. La Haute Cour s’est ainsi prononcée sur la notion d’aptitude au placement – non reconnue en l’espèce – et non pas strictement sur la question du taux de dispoibilité à l’emploi de l’intéressé. La jurisprudence citée par le recourant ne fait donc pas état d’un cas comparable à celui de l’appelée en cause, dont l’aptitude au placement a été à bon droit reconnue, dont les recherches d’emploi ont été qualifiées de suffisantes et qui est déjà titulaire d’une formation universitaire de base. Comme mentionné ci-dessus, il n’y a pas lieu d’examiner si l’assurée est effectivement susceptible d’abandonner la formation débutée en janvier 2014, puisque la diminution de sa disponibilité à l’emploi, à concurrence de 80%, reflète la part de son engagement consacrée au cursus corrélatif. 5. En définitive, le recours, mal fondé, doit être rejeté, ce qui entraîne la confirmation de la décision sur opposition attaquée. Il n’y a pas lieu de percevoir de frais judiciaires, la procédure étant gratuite (art. 61 let. a LPGA), ni d’allouer de dépens, vu l’issue du litige (art. 55 LPA-VD et 61 let. g LPGA).</w:t>
      </w:r>
    </w:p>
    <w:p>
      <w:r>
        <w:t>- 15 - Par ces motifs, le juge unique p r o n o n c e : I. Le recours est rejeté. II. La décision sur opposition, rendue le 21 mai 2014 par le Service de l’emploi, Instance Juridique Chômage, est confirmée. III. Il n’est pas perçu de frais judiciaires, ni alloué de dépens. Le juge unique : La greffière : Du L'arrêt qui précède est notifié, par l'envoi de photocopies, à : - Secrétariat d'Etat à l'économie, à Berne, - Service de l'emploi, Instance Juridique Chômage, à Lausanne, - N.________, à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