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ZQ14.007396 vom 12. Mai 2014</w:t>
      </w:r>
    </w:p>
    <w:p>
      <w:r>
        <w:t>VD Tribunal cantonal, 2014-05-12, FR</w:t>
      </w:r>
    </w:p>
    <w:p>
      <w:r>
        <w:rPr>
          <w:b/>
        </w:rPr>
        <w:t xml:space="preserve">Quelle: </w:t>
      </w:r>
      <w:r>
        <w:t>https://mcp.opencaselaw.ch/entscheid/vd_gerichte_ZQ14.007396</w:t>
      </w:r>
    </w:p>
    <w:p>
      <w:r>
        <w:t>FR: VD_GERICHTE ZQ14.007396 du 12 mai 2014</w:t>
      </w:r>
    </w:p>
    <w:p>
      <w:r>
        <w:t>IT: VD_GERICHTE ZQ14.007396 del 12 maggio 2014</w:t>
      </w:r>
    </w:p>
    <w:p>
      <w:pPr>
        <w:pStyle w:val="Heading2"/>
      </w:pPr>
      <w:r>
        <w:t>Volltext</w:t>
      </w:r>
    </w:p>
    <w:p>
      <w:r>
        <w:t>TRIBUNAL CANTONAL ACH 18/14 - 67/2014 ZQ14.007396 CO UR DE S ASSURANCES S OCIALES _____________________________________________ Décision du 12 mai 2014 ____________________ Présidence de M. NEU, juge unique Greffière : Mme Pellaton ***** Cause pendante entre : G.________, à Montreux, recourant, et CAISSE CANTONALE DE CHÔMAGE, Division juridique, à Lausanne, intimée. _______________ Art. 94 al. 1 let. c LPA-VD 405</w:t>
      </w:r>
    </w:p>
    <w:p>
      <w:r>
        <w:t>- 2 - Vu le recours formé le 19 février 2014 par G.________ à l’encontre de la décision sur opposition prise le 20 janvier 2014 par la Caisse cantonale de chômage, vu les écritures des parties et les pièces au dossier, vu la déclaration de retrait du recours envoyée par le recourant le 9 mai 2014 ; considérant qu’il y a lieu de rayer la cause du rôle par suite de retrait du recours, selon la procédure de l’art. 94 al. 1 let. c LPA-VD (loi cantonale vaudoise sur la procédure administrative ; RSV 173.36), qu’il n’y a pas lieu de percevoir des frais de justice ni d’allouer de dépens (art. 91 et 99 LPA-VD). Par ces motifs, le juge unique p r o n o n c e : I. La cause est rayée du rôle par suite de retrait du recours. II. Il n’est pas perçu de frais judiciaires ni alloué de dépens. Le juge unique : La greffière : Du</w:t>
      </w:r>
    </w:p>
    <w:p>
      <w:r>
        <w:t>- 3 - La décision qui précède est notifiée à : - G.________, - Caisse cantonale de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