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ZQ13.054174 vom 18. August 2014</w:t>
      </w:r>
    </w:p>
    <w:p>
      <w:r>
        <w:t>VD Tribunal cantonal, 2014-08-18, FR</w:t>
      </w:r>
    </w:p>
    <w:p>
      <w:r>
        <w:rPr>
          <w:b/>
        </w:rPr>
        <w:t xml:space="preserve">Quelle: </w:t>
      </w:r>
      <w:r>
        <w:t>https://mcp.opencaselaw.ch/entscheid/vd_gerichte_ZQ13.054174</w:t>
      </w:r>
    </w:p>
    <w:p>
      <w:r>
        <w:t>FR: VD_GERICHTE ZQ13.054174 du 18 août 2014</w:t>
      </w:r>
    </w:p>
    <w:p>
      <w:r>
        <w:t>IT: VD_GERICHTE ZQ13.054174 del 18 agosto 2014</w:t>
      </w:r>
    </w:p>
    <w:p>
      <w:pPr>
        <w:pStyle w:val="Heading2"/>
      </w:pPr>
      <w:r>
        <w:t>Erwägungen</w:t>
      </w:r>
    </w:p>
    <w:p>
      <w:r>
        <w:rPr>
          <w:b/>
        </w:rPr>
        <w:t>E. 1</w:t>
      </w:r>
    </w:p>
    <w:p>
      <w:r>
        <w:t>L’octroi d’allocations d’initiation au travail par l’assurance- chômage est subordonné au respect par l’employeur des dispositions et des engagements auxquels il a souscrit en signant la formule « confirmation de l’employeur relative à l’initiation au travail », laquelle prime tout accord contenant des clauses contraires. En cas de non respect desdites dispositions, la restitution des allocations est réservée (art. 95 LACI).</w:t>
      </w:r>
    </w:p>
    <w:p>
      <w:r>
        <w:rPr>
          <w:b/>
        </w:rPr>
        <w:t>E. 2</w:t>
      </w:r>
    </w:p>
    <w:p>
      <w:r>
        <w:t>Après le temps d’essai d’un mois, le contrat de travail ne peut être résilié avant la fin de l’initiation au travail, sauf pour de justes motifs au sens de l’art. 337 CO. L’Office régional de placement (ORP) devra être informé sans délai de toute modification ou résiliation du contrat de travail.</w:t>
      </w:r>
    </w:p>
    <w:p>
      <w:r>
        <w:rPr>
          <w:b/>
        </w:rPr>
        <w:t>E. 3</w:t>
      </w:r>
    </w:p>
    <w:p>
      <w:r>
        <w:t>a) Conformément à l’art. 52 al. 1 LPGA, applicable par renvoi de l’art. 1 al. 1 LACI,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L’acte d’opposition doit être remis au plus tard le dernier jour du délai à l’assureur ou, à son adresse, à la Poste suisse ou à une représentation diplomatique ou consulaire suisse (art. 39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b) La notification doit permettre au destinataire de prendre connaissance de la décision et, le cas échéant, de faire usage des voies de</w:t>
      </w:r>
    </w:p>
    <w:p>
      <w:r>
        <w:t>- 8 -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lb 296 consid. 2a et les références). Le fardeau de la preuve de la notification d’un acte et de sa date incombe en principe à l’autorité qui entend en tirer une conséquence juridique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121 V</w:t>
      </w:r>
    </w:p>
    <w:p>
      <w:r>
        <w:rPr>
          <w:b/>
        </w:rPr>
        <w:t>E. 6</w:t>
      </w:r>
    </w:p>
    <w:p>
      <w:r>
        <w:t>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cf. aussi arrêt du Tribunal administratif du canton de Vaud [TA] PS.2004.0275 du 6 mai 2005, dans lequel un délai de 6 jours pour l’acheminement d’un courrier par pli simple a été considéré comme tout à fait vraisemblable;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w:t>
      </w:r>
    </w:p>
    <w:p>
      <w:r>
        <w:t>- 9 - voir aussi ATF 121 V 204 consid. 6b; 121 V 45 consid. 2a; 119 V 7 consid. 3c; arrêt TA PS 1997/0114 du 7 octobre 1997). c) Cela étant, une partie qui connaît ou doit connaître l'existence d'un prononcé la concernant mais qui n'entreprend aucune démarche pour en obtenir la communication agit de manière contraire à la bonne foi. Elle doit en effet faire preuve de diligence (ATF 123 II 231 consid. 8b; 119 IV 330 consid. 1c)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(RDAT 2000 I n. 14t p. 655 consid. 3b/, 2P.434/1998; RDAT 1999 II n. 19t p. 360 consid. 4b/bb/, 2P.144/1998 et les arrêts cités). 4. En l’occurrence, quand bien même la décision de l’ORP du 9 août 2012 indiquait avoir été adressée à l’employeur, le recourant allègue ne pas l’avoir reçue, contestant ainsi sa notification. En l’absence de preuve de notification de cette décision, on retiendra qu’il existe effectivement un doute à ce sujet, si bien qu’il y a lieu de se fonder sur les déclarations de l’employeur, et admettre qu’il ne s’est pas vu notifier la décision du 9 août 2012 de l’ORP. C’est donc au plus tôt lorsqu’A.________ lui a notifié sa décision de restitution des AIT versées à tort le 17 juin 2013 que l’employeur a appris l’existence de la décision de l’ORP du 9 août 2012 mettant fin à l’AIT avec effet rétroactif. L’employeur a réagi à la décision d’A.________ le 12 juillet 2013, en expliquant n’avoir pas mis lui-même fin au contrat de travail qui le liait à l’assuré. On ne peut dès lors lui imputer un manque de diligence. Vu la teneur des explications de l’employeur, A.________ l’a interrogé, le 26 août 2013, sur le point de savoir s’il avait eu connaissance de la décision du 9 août 2012 de l’ORP, doutant manifestement que tel ait</w:t>
      </w:r>
    </w:p>
    <w:p>
      <w:r>
        <w:t>- 10 - été le cas. A.________ a ainsi joint à son envoi du 26 août 2013 une copie de la décision de l’ORP du 9 août 2012. Or l’employeur soutient n’avoir pris connaissance de cet envoi et de son annexe, soit la décision litigieuse du 9 août 2012, qu’en date du 18 septembre 2013, attribuant un défaut d’acheminement du courrier au B.________ dans lequel se trouvent ses locaux. Cette question peut toutefois rester ouverte. En effet, s’il est constant que le courrier d’A.________ auquel était joint la décision du 9 août 2012 de l’ORP est daté du 26 août 2013, aucun élément figurant au dossier ne permet d’établir la date exacte d’envoi de cette correspondance, ni la date de notification à son destinataire. Le fait qu’elle soit datée du 26 août 2013 ne prouve pas encore que c’est à cette date que l’envoi a été posté et un retard de quelques jours dans l’acheminement du courrier ne peut être exclu, comme l’admet la jurisprudence fédérale précitée. Au demeurant, l’autorité doit supporter les conséquences de l’absence de preuve dès lors qu’il existe un doute au sujet de la date d’envoi. Compte tenu de l’absence d’éléments probants concernant l’envoi et considérant qu’un retard dans l’acheminement du courrier d’A.________ du 26 août 2013 de plusieurs jours est admissible, l’opposition du recourant du 7 octobre 2013 ne peut en l’espèce être considérée comme tardive, et doit ainsi être considérée comme recevable. 5. Vu ce qui précède, le recours doit être admis et la décision du</w:t>
      </w:r>
    </w:p>
    <w:p>
      <w:r>
        <w:rPr>
          <w:b/>
        </w:rPr>
        <w:t>E. 8</w:t>
      </w:r>
    </w:p>
    <w:p>
      <w:r>
        <w:t>novembre 2013 annulée, la cause étant renvoyée à l’intimé pour nouvelle décision. Le présent arrêt est rendu sans frais (art. 61 let. a LPGA). Le recourant, qui obtient gain de cause avec l’aide d’un mandataire professionnel, a droit à des dépens, qu’il convient de fixer à 1'000 francs (art. 61 let. g LPGA; 55 LPA-VD). Par ces motifs, la juge unique</w:t>
      </w:r>
    </w:p>
    <w:p>
      <w:r>
        <w:t>- 11 - p r o n o n c e : I. Le recours est admis. II. La décision sur opposition rendue le 8 novembre 2013 par le Service de l’emploi, Instance Juridique Chômage, est annulée, la cause lui étant renvoyée pour nouvelle décision conformément aux considérants. III. Le Service de l’emploi, Instance Juridique Chômage, versera à X.________, la somme de 1'000 fr. (mille francs) à titre de dépens. IV. Il n’est pas perçu de frais de justice. La juge unique : La greffière : Du L'arrêt qui précède est notifié à : - Me Eduardo Redondo (pour X.________), - Service de l’emploi, Instance Juridique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