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ZQ13.043890 vom 21. November 2014</w:t>
      </w:r>
    </w:p>
    <w:p>
      <w:r>
        <w:t>VD Tribunal cantonal, 2014-11-21, FR</w:t>
      </w:r>
    </w:p>
    <w:p>
      <w:r>
        <w:rPr>
          <w:b/>
        </w:rPr>
        <w:t xml:space="preserve">Quelle: </w:t>
      </w:r>
      <w:r>
        <w:t>https://mcp.opencaselaw.ch/entscheid/vd_gerichte_ZQ13.043890</w:t>
      </w:r>
    </w:p>
    <w:p>
      <w:r>
        <w:t>FR: VD_GERICHTE ZQ13.043890 du 21 novembre 2014</w:t>
      </w:r>
    </w:p>
    <w:p>
      <w:r>
        <w:t>IT: VD_GERICHTE ZQ13.043890 del 21 novembre 2014</w:t>
      </w:r>
    </w:p>
    <w:p>
      <w:pPr>
        <w:pStyle w:val="Heading2"/>
      </w:pPr>
      <w:r>
        <w:t>Erwägungen</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Le litige porte sur le point de savoir si la suspension de 44 jours du recourant dans l’exercice de son droit aux indemnités journalières de l’assurance-chômage est justifiée quant à son principe, le cas échéant quant à sa durée. Outre la contestation relative à la suspension proprement dite, le recourant reproche à l’intimée d’avoir statué sur son opposition, estimant que cela ressortait à un tribunal, ainsi que d’avoir procédé à un chantage, en l’invitant à retirer son opposition sous peine de subir une sanction plus lourde. Il demande également que la Cour se prononce sur le courrier de l’Office régional de placement relatif à la suspension de trois jours dans l’exercice de son droit aux indemnités chômage.</w:t>
      </w:r>
    </w:p>
    <w:p>
      <w:r>
        <w:rPr>
          <w:b/>
        </w:rPr>
        <w:t>E. 2.1</w:t>
      </w:r>
    </w:p>
    <w:p>
      <w:r>
        <w:t>; 122 II 464 consid. 4a ; 119 V 335 consid. 3c ; TF 9C_382/2008 du 22 juillet 2008 consid. 3 et les références).</w:t>
      </w:r>
    </w:p>
    <w:p>
      <w:r>
        <w:rPr>
          <w:b/>
        </w:rPr>
        <w:t>E. 3</w:t>
      </w:r>
    </w:p>
    <w:p>
      <w:r>
        <w:t>a) Conformément à l’art. 52 al. 1 LPGA, les décisions rendues en matière d’assurance sociale peuvent être attaquées dans les trente jours par voie d’opposition auprès de l’assureur qui les a rendues, à l’exception des décisions d’ordonnancement de la procédure. Depuis l’entrée en vigueur de la LPGA au 1er janvier 2003, la procédure d’opposition s’étend à l’ensemble des branches des assurances sociales (sous réserve de la prévoyance professionnelle et, depuis le 1er juillet 2006, de l’assurance-invalidité [cf. TF I 25/06 du 27 mars 2007 consid. 4.1]). Elle est obligatoire et constitue une condition formelle de validité de</w:t>
      </w:r>
    </w:p>
    <w:p>
      <w:r>
        <w:t>- 9 - la procédure de recours de droit administratif subséquente (ATF 130 V 388 ; en matière d’assurance-chômage : TF C 64/06 du 26 avril 2007 consid. 4.2 et TFA C 251/05 du 4 septembre 2006 consid. 1.1, avec les références citées). L’opposition est un moyen de droit permettant au destinataire d’une décision d’en obtenir le réexamen par l’autorité administrative, avant qu’un juge ne soit éventuellement saisi (ATF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 Kommentar : Kommentar zum Bundesgesetz über den Allgemeinen Teil des Sozialversicherungsrechts vom 6. Oktober 2000, 2e édition, Zurich 2009, n° 2 ss ad art. 52, p. 652 ss ; Pierre Moor, Droit administratif, vol. II : Les actes administratifs et leur contrôle, 3e éd., Berne 2011, n° 5.3.2.2, p. 629 s. ; André Grisel, Traité de droit administratif, vol. II, Neuchâtel 1984,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la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(TF 9C_777/2013 du 13 février 2014 consid. 5.2.1 et les références). b) A l’aune de la jurisprudence et de la doctrine exposées ci- dessus, le grief du recourant s’agissant de l’incompétence de la caisse intimée à rendre la décision sur opposition litigieuse se révèle infondé.</w:t>
      </w:r>
    </w:p>
    <w:p>
      <w:r>
        <w:rPr>
          <w:b/>
        </w:rPr>
        <w:t>E. 4</w:t>
      </w:r>
    </w:p>
    <w:p>
      <w:r>
        <w:t>a) Aux termes de l’art. 12 al. 1 OPGA, l’assureur n’est pas lié par les conclusions de l’opposant (cf. art. 52 al. 2 LPGA) ; il peut modifier</w:t>
      </w:r>
    </w:p>
    <w:p>
      <w:r>
        <w:t>- 10 - la décision à l’avantage ou au détriment de celui-ci. Toutefois, en vertu de l’art. 12 al. 2 OPGA, si l’assureur envisage de modifier la décision au détriment de l’opposant, il donne à ce dernier l’occasion de retirer son opposition. L'art. 12 al. 2 OPGA prévoit désormais le devoir d'information plus étendu développé par la jurisprudence : l'assureur doit non seulement avertir l'opposant du risque de se retrouver dans une position plus défavorable (reformatio in pejus), mais également de la possibilité de retirer son opposition. A cet égard, la jurisprudence a eu l'occasion de souligner que ce double devoir d'information serait vidé de son sens si l'assureur était habilité à annuler ou à modifier la décision contre laquelle a été formée opposition (sans les avertissements à l'opposant visant à garantir une procédure équitable), en rendant une décision en reconsidération dans le sens d'une reformatio in pejus, puis à rayer ensuite l'opposition du rôle en se référant à la décision initiale qui n'existerait plus, au motif qu'elle serait devenue sans objet (ATF 131 V 414 consid. 1 et les références citées ; TF C 200/06 du 3 août 2007 consid. 3). b) En l’espèce, la Caisse a modifié sa position initialement signifiée par décision du 18 juin 2013, en suspendant désormais l’intéressé dans son droit à l’indemnité chômage pour une durée de 44 jours. Cette modification s’est faite au détriment du recourant, par le biais de la décision sur opposition du 12 septembre 2013. Cela étant, la Caisse a respecté les exigences posées par l’art. 12 al. 2 OPGA, en informant l’assuré qu’après examen sommaire du dossier, il ne pouvait être exclu que la décision sur opposition modifie la décision du 18 juin 2013 en sa défaveur. Par courrier du 22 août 2013, elle lui a donné la possibilité de retirer son opposition du 3 juillet 2013. Aucun grief ne peut dès lors être formulé sur ce point à l’encontre de l’intimée, laquelle n’a fait que préserver les droits de l’assuré en procédant, à cet effet, aux avertissements prévus par l’art. 12 al. 2 OPGA.</w:t>
      </w:r>
    </w:p>
    <w:p>
      <w:r>
        <w:t>- 11 -</w:t>
      </w:r>
    </w:p>
    <w:p>
      <w:r>
        <w:rPr>
          <w:b/>
        </w:rPr>
        <w:t>E. 5</w:t>
      </w:r>
    </w:p>
    <w:p>
      <w:r>
        <w:t>a) En matière d’assurance-chômage, la voie de l’opposition est ouverte par l’art. 52 LPGA contre les décisions des autorités de chômage et notamment contre celles de l’Office régional de placement. Afin de pouvoir accéder au Tribunal, un recourant doit, selon l’art. 56 al. 1 LPGA, disposer préalablement d’une décision sur opposition au sujet de la décision initiale de l’ORP qu’il conteste. b) La Cour de céans n’a pas à se prononcer sur la décision de l’Office régional de placement du 14 juin 2013 suspendant le recourant dans son droit à l’indemnité chômage pour absence de recherches d’emploi pour la période précédent son chômage, pas plus que sur le courrier du Service de l’emploi, Instance juridique chômage, du 7 octobre 2013, faisant application de l’art. 12 al. 2 OPGA. En effet, ces documents ne sont pas des décisions sur opposition au sens de l’art. 56 al. 1 LPGA sur lesquelles la Cour de céans aurait compétence pour statuer.</w:t>
      </w:r>
    </w:p>
    <w:p>
      <w:r>
        <w:rPr>
          <w:b/>
        </w:rPr>
        <w:t>E. 6</w:t>
      </w:r>
    </w:p>
    <w:p>
      <w:r>
        <w:t>avril 2008 consid. 2.1.2). La durée de la suspension se mesure d’après le degré de gravité de la faute commise, non en fonction du dommage causé (Bulletin du Secrétariat d’Etat à l’économie [SECO] LACI relatif à l’indemnité de chômage (IC) [ci-après : Bulletin LACI], n° D1). b) Selon l’art. 44 al. 1 let. a OACI, l’assuré qui, par son comportement, en particulier par la violation de ses obligations contractuelles de travail, a donné à son employeur un motif de résiliation du contrat de travail, est réputé sans travail par sa propre faute. Dans le cas de suspension visé à cet article (cf. art. 30 al. 1 let. a LACI), il faut établir clairement si c’est effectivement le comportement reproché à l’assuré qui est à l’origine de son licenciement (Bulletin LACI, n° D6). Il doit en effet exister un lien de causalité juridiquement pertinent entre le motif de licenciement, c’est-à-dire le comportement de l’assuré, et le chômage (ATF 122 V 34 consid. 3a) ; un tel lien fait défaut si la résiliation est fondée essentiellement sur un autre motif que le comportement du travailleur, par exemple la restructuration de l’entreprise (Bulletin LACI, n° D15). Il n’est cependant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 1986 p. 96 consid. 3).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242 consid. 1 et les arrêts cités).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w:t>
      </w:r>
    </w:p>
    <w:p>
      <w:r>
        <w:t>- 13 - l’assurance-chômage, Schulthess 2014, p. 306, ch. 24 et les références citées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Le Secrétariat d’Etat à l’économie (SECO), autorité de surveillance en matière d’assurance-chômage, précise par ailleurs qu’une résiliation du contrat de travail d’un commun accord est considérée comme une résiliation par l’assuré (Bulletin LACI, n° D24). L’assuré qui accepte expressément et valablement une résiliation anticipée de son contrat de travail ne respectant pas le délai de congé ou qui refuse, en toute connaissance de cause, de travailler jusqu’au prochain terme légal de congé (licenciement en temps inopportun) renonce non à des prétentions de salaire mais à la poursuite des rapports de travail. Il devra donc être suspendu dans son droit à l’indemnité pour chômage fautif en vertu de l’art. 30 al. 1 let. a LACI.</w:t>
      </w:r>
    </w:p>
    <w:p>
      <w:r>
        <w:rPr>
          <w:b/>
        </w:rPr>
        <w:t>E. 7</w:t>
      </w:r>
    </w:p>
    <w:p>
      <w:r>
        <w:t>En l’espèce, se pose en premier lieu la question de savoir si le recourant a donné à son ancien employeur un motif de licenciement et s’il est sans travail par sa propre faute. L’intimée a prononcé une suspension de 44 jours à l’encontre du recourant, au motif que ce dernier a accepté la résiliation anticipée de son contrat de travail, d’un commun accord, à la suite d’une infraction grave de la CCT des Q.________ et s’est inscrit à l’assurance-chômage avant le terme de son délai de congé conventionnel. a) Aux termes de l’art. 321a CO, le travailleur exécute avec soin le travail qui lui est confié et sauvegarde fidèlement les intérêts légitimes de l’employeur. Conformément aux règles de la bonne foi, le travailleur doit exercer son activité au plus près des intérêts de son employeur selon ce que l’on peut attendre de lui, en fonction de sa formation et de son expérience. Afin de satisfaire à son devoir de fidélité, il doit s’abstenir de tout comportement qui lèserait les intérêts de</w:t>
      </w:r>
    </w:p>
    <w:p>
      <w:r>
        <w:t>- 14 - l’employeur ou qui pourrait nuire à la réputation de celui-ci. Les exigences résultant du devoir de fidélité sont d’autant plus élevées que les responsabilités concrètes exercées par le travailleur sont grandes et sa position de confiance au sein de l’entreprise importante. L’art. 321a CO étant de droit dispositif (art. 361 et 362 CO a contrario), les parties peuvent convenir d’étendre ou de limiter les obligations du travailleur. A cet égard, la CCT des Q.________ prévoit que les collaborateurs doivent sauvegarder les intérêts et la réputation des Q.________, exécuter les travaux qui leur sont confiés selon les exigences spécifiques et la qualité requise, et traiter avec soin les instruments de travail mis à leur disposition (art. 35 al. 1). b) Le recourant a signé, le 11 février 2013, une convention mettant fin « d’un commun accord » aux rapports de travail (selon les termes de la convention). Par l’apposition de sa signature sur dite convention, il a reconnu avoir falsifié deux certificats de travail et une déclaration de l’office des poursuites dans le but d’obtenir le poste d’agent de train en trafic international qu’il occupait auprès des Q.________ depuis le 1er juillet 2010. En falsifiant les documents ayant servi de référence à son engagement au poste précité, corrélativement en mentant sur sa formation et son expérience, l’intéressé a agi d’une manière susceptible de nuire aux intérêts de son employeur, contrevenant ainsi à son devoir de diligence et de fidélité au sens des art. 321a CO et 35 al. 1 CCT des Q.________. Ce faisant, il ne pouvait ignorer qu’il provoquerait le mécontentement de son employeur et s’exposerait ainsi à des récriminations si les falsifications venaient à être découvertes. Le recourant a de ce fait donné à son ancien employeur un motif de résiliation du contrat de travail ; la falsification des certificats de travail et de la déclaration de l’office des poursuites constitue, au regard de la convention, le comportement reproché au recourant, motif sur lequel est fondée la résiliation des rapports de travail. Par ailleurs, le fait d’admettre que la résiliation du contrat de travail s’est faite d’un commun accord, conformément aux termes de la convention, ne saurait amener la Cour à nier le chômage fautif de l’assuré.</w:t>
      </w:r>
    </w:p>
    <w:p>
      <w:r>
        <w:t>- 15 - En effet, le recourant a accepté expressément et valablement, par signature de la convention, la résiliation anticipée des rapports de travail, soit au 11 février 2013. Si les termes de la CCT des Q.________ avaient été respectés, laquelle prévoit un délai de congé de trois mois pour la fin d’un mois durant les cinq premières années d’emploi (art. 183 al. 2 let. a CCT des Q.________), les rapports de travail auraient dû prendre fin le 31 mai 2013. Partant, le comportement de l’assuré, soit la sollicitation d’indemnités dès le 10 mai 2013, était de nature à causer un préjudice à l’assurance-chômage. Précisons que la qualification de « résiliation d’un commun-accord » ou de « démission » – comme le mentionne l’assuré dans son écriture de recours – ne change rien à cette appréciation, le terme légal n’étant dans tous les cas pas respecté. c) Le recourant ne conteste pas les faits exposés ci-dessus, lesquels ne sont par ailleurs pas remis en cause par les certificats médicaux établis par la Dresse L.________. D’une part, les déclarations médicales du 25 février 2013 ne permettent pas de nier l’existence d’un juste motif de résiliation des rapports de travail. Il est en l’occurrence question du ressenti de l’assuré et de sa « préférence à donner sa démission ». Or le recourant est au chômage par sa propre faute au sens de l’art. 30 al. 1 let. a LACI, non pour des motifs médicaux. D’autre part, on constate, à l’instar de l’intimée, que le certificat en question a été établi quatorze jours après la fin effective des rapports de travail, de sorte qu’il ne peut en être tenu compte pour justifier la résiliation avec effet immédiat. Il s’ensuit que c’est à juste titre que l’intimée a retenu que le recourant était responsable de son chômage et a prononcé une décision de suspension sur la base de l’art. 30 al. 1 let. a LACI.</w:t>
      </w:r>
    </w:p>
    <w:p>
      <w:r>
        <w:rPr>
          <w:b/>
        </w:rPr>
        <w:t>E. 8</w:t>
      </w:r>
    </w:p>
    <w:p>
      <w:r>
        <w:t>La suspension étant bien fondée dans son principe, il convient de qualifier la faute, puis de prononcer la quotité de la suspension. a) La durée de la suspension est proportionnelle à la gravité de la faute. Ainsi, en cas de faute légère, la durée de la suspension est de</w:t>
      </w:r>
    </w:p>
    <w:p>
      <w:r>
        <w:t>- 16 - 1 à 15 jours, de 16 à 30 jours en cas de faute de gravité moyenne et de 31 à 60 jours en cas de faute grave (art. 45 al. 3 let. a à c OACI). Il y a faute grave lorsque l'assuré a abandonné un emploi réputé convenable sans être assuré de trouver un nouvel emploi ou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p. 328, ch. 110 ;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D’après la Haute Cour, le Conseil fédéral n’aurait pas énuméré exhaustivement les cas de faute grave (TFA C 73/99 du 1er octobre 1999 consid. 2 a). Dans les cas de faute grave, la jurisprudence a indiqué qu’il convenait de partir du milieu de la fourchette et de diminuer le nombre de jours de sanction ou de l’augmenter en fonction des circonstances atténuantes ou aggravantes (ATF 123 V 150 consid. 3c ; Boris Rubin, op. cit., p. 330, ch. 118 et 119). En outre, la caisse a la compétence de statuer lorsqu’il s’agit de prononcer une sanction sur la base de l’art. 30 al. 1 let. a LACI (art. 30 al. 2 et 81 al. 1 let. b LACI). Faisant application de l’art. 30 al. 3 LACI et 45 OACI, selon lesquels la durée de la suspension est fixée</w:t>
      </w:r>
    </w:p>
    <w:p>
      <w:r>
        <w:t>- 17 - proportionnellement à la faute, elle a la compétence de se prononcer sur la gravité de celle-ci, au sens de la loi sur l’assurance-chômage. b) En l’occurrence, l’intimée a qualifié la faute commise de grave et suspendu le recourant dans l’exercice de son droit à l’indemnité chômage pour une durée de 44 jours à compter du 12 février 2013. L’intimée a retenu une faute grave, conformément à ce qui est généralement retenu tant par l’administration que par les tribunaux en application de l’art. 44 al. 1 let. a OACI (cf. consid. 8a supra). Le recourant ayant donné aux Q.________ un motif de résiliation du contrat de travail (cf. consid. 7b supra), il appert que la qualification de la faute, eu égard au comportement de l’intéressé, ne prête pas flanc à la critique. Cela étant, la suspension de 44 jours est située dans la fourchette prévue par l’art. 45 al. 3 let. c OACI en cas de faute grave, qui plus est au milieu de cette fourchette qui s’étend de 31 à 60 jours de suspension. Le SECO énonce que la suspension est fixée en tenant compte de toutes les circonstances du cas particulier, telles que notamment le mobile, les circonstances personnelles (âge, état civil, état de santé, niveau de formation,…) et les circonstances particulières (comportement de l’employeur ou des collègues, climat de travail) (Bulletin LACI, n° D 64). On ne saurait à cet effet reprocher à l’intimée de ne pas avoir tenir compte de manière adéquate de toutes les circonstances particulières du cas d’espèce. Par ailleurs, on soulignera que contrairement à ce que semble penser le recourant, l’inscription à l’assurance-chômage près de trois mois après la résiliation des rapports de travail ne sauraient être retenues à titre de circonstances atténuantes. Selon le SECO, le comportement de l’assuré qui, après avoir fautivement perdu son emploi, attend avant de s’annoncer au chômage et cherche du travail avec toute l’intensité requise de la résiliation du contrat au moment de l’inscription, doit être pris en considération à titre de facteur diminuant le dommage pour apprécier la gravité de la faute (Bulletin LACI, n° D 62). Or le recourant admet</w:t>
      </w:r>
    </w:p>
    <w:p>
      <w:r>
        <w:t>- 18 - explicitement ne pas avoir recherché un emploi, avec toute l’intensité requise, après la résiliation des rapports de travaux, estimant que ses devoirs d’assuré ne s’appliquaient qu’à compter du 10 mai 2013, date de son inscription. Il s’ensuit que l’intimée n’a pas abusé de son pouvoir d’appréciation ni contrevenu au principe de la proportionnalité en suspendant l’assuré pendant 44 jours dans son droit à l’indemnité chômage. La suspension dans l’exercice du droit à l’indemnité prend effet le 12 février 2013, soit dès le premier jour qui suit la cessation des rapports de travail eu égard au chômage fautif du recourant (cf. art. 45 al. 1 let. a OACI).</w:t>
      </w:r>
    </w:p>
    <w:p>
      <w:r>
        <w:rPr>
          <w:b/>
        </w:rPr>
        <w:t>E. 9</w:t>
      </w:r>
    </w:p>
    <w:p>
      <w:r>
        <w:t>Les éléments au dossier sont clairs, dénués de contradiction et permettent à la Cour de statuer. Le recourant ayant eu tout loisir de s’exprimer au cours de la présente procédure, il n’y a dès lors pas lieu de donner suite à sa requête tendant à la tenue d’une audience. En effet,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122 II 469 consid. 4a ; 122 III 223 consid. 3c). Une telle manière de procéder ne viole pas, en tant que telle, les garanties de procédure (ATF 130 II 425 consid.</w:t>
      </w:r>
    </w:p>
    <w:p>
      <w:r>
        <w:rPr>
          <w:b/>
        </w:rPr>
        <w:t>E. 10</w:t>
      </w:r>
    </w:p>
    <w:p>
      <w:r>
        <w:t>Il résulte de ce qui précède que le recours, mal fondé, doit être rejeté, ce qui entraîne la confirmation de la décision attaquée. Il n’y a pas lieu de percevoir des frais judiciaires, la procédure étant gratuite, ni d’allouer de dépens (art. 61 let. a et g LPGA).</w:t>
      </w:r>
    </w:p>
    <w:p>
      <w:r>
        <w:t>- 19 - Par ces motifs, la juge unique p r o n o n c e : I. Le recours est rejeté. II. La décision sur opposition rendue le 21 septembre 2013 par U.________ est confirmée. III. Il n’est pas perçu de frais judiciaires. IV. Il n’est pas alloué de dépens. La juge unique : La greffière : Du L'arrêt qui précède est notifié à : - V.________ - U.________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