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ZQ13.002256 vom 25. April 2013</w:t>
      </w:r>
    </w:p>
    <w:p>
      <w:r>
        <w:t>VD Tribunal cantonal, 2013-04-25, FR</w:t>
      </w:r>
    </w:p>
    <w:p>
      <w:r>
        <w:rPr>
          <w:b/>
        </w:rPr>
        <w:t xml:space="preserve">Quelle: </w:t>
      </w:r>
      <w:r>
        <w:t>https://mcp.opencaselaw.ch/entscheid/vd_gerichte_ZQ13.002256</w:t>
      </w:r>
    </w:p>
    <w:p>
      <w:r>
        <w:t>FR: VD_GERICHTE ZQ13.002256 du 25 avril 2013</w:t>
      </w:r>
    </w:p>
    <w:p>
      <w:r>
        <w:t>IT: VD_GERICHTE ZQ13.002256 del 25 aprile 2013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 ; RS 173.110), cas échéant d'un recours constitutionnel subsidiaire au sens des art. 113 ss LTF. Ces recours</w:t>
      </w:r>
    </w:p>
    <w:p>
      <w:r>
        <w:t>- 8 - doivent être déposés devant le Tribunal fédéral (Schweizerhofquai 6, 6004 Lucerne) dans les trente jours qui suivent la présente notification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