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ZQ12.045779 vom 3. März 2014</w:t>
      </w:r>
    </w:p>
    <w:p>
      <w:r>
        <w:t>VD Tribunal cantonal, 2014-03-03, FR</w:t>
      </w:r>
    </w:p>
    <w:p>
      <w:r>
        <w:rPr>
          <w:b/>
        </w:rPr>
        <w:t xml:space="preserve">Quelle: </w:t>
      </w:r>
      <w:r>
        <w:t>https://mcp.opencaselaw.ch/entscheid/vd_gerichte_ZQ12.045779</w:t>
      </w:r>
    </w:p>
    <w:p>
      <w:r>
        <w:t>FR: VD_GERICHTE ZQ12.045779 du 3 mars 2014</w:t>
      </w:r>
    </w:p>
    <w:p>
      <w:r>
        <w:t>IT: VD_GERICHTE ZQ12.045779 del 3 marzo 2014</w:t>
      </w:r>
    </w:p>
    <w:p>
      <w:pPr>
        <w:pStyle w:val="Heading2"/>
      </w:pPr>
      <w:r>
        <w:t>Erwägungen</w:t>
      </w:r>
    </w:p>
    <w:p>
      <w:r>
        <w:rPr>
          <w:b/>
        </w:rPr>
        <w:t>E. 5</w:t>
      </w:r>
    </w:p>
    <w:p>
      <w:r>
        <w:t>La quotité de la sanction, qui se situe au minimum de la durée de suspension prévue en cas de faute grave (cf. art. 45 al. 4 OACI et supra consid. 3c) apparaît respecter le principe de la proportionnalité compte tenu de l’ensemble des circonstances, notamment du fait que l’emploi refusé aurait procuré à l’assuré un revenu supérieur au montant de ses indemnités de chômage. Par ailleurs, il n’y a pas de circonstances particulières qui permettraient de considérer la faute comme étant de gravité moyenne.</w:t>
      </w:r>
    </w:p>
    <w:p>
      <w:r>
        <w:rPr>
          <w:b/>
        </w:rPr>
        <w:t>E. 6</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la juge unique p r o n o n c e : I. Le recours est rejeté.</w:t>
      </w:r>
    </w:p>
    <w:p>
      <w:r>
        <w:t>- 15 - II. La décision sur opposition rendue le 8 octobre 2012 par le Service de l’emploi, Instance Juridique Chômage, est confirmée. III. Il n’est pas perçu de frais de justice, ni alloué de dépens. La juge unique : La greffière : Du L'arrêt qui précède est notifié à : - J.________, à [...], - Service de l’emploi, Instance Juridique Chômage, à [...], - Secrétariat d’Etat à l’économie, à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