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ZQ12.018588 vom 17. Juni 2014</w:t>
      </w:r>
    </w:p>
    <w:p>
      <w:r>
        <w:t>VD Tribunal cantonal, 2014-06-17, FR</w:t>
      </w:r>
    </w:p>
    <w:p>
      <w:r>
        <w:rPr>
          <w:b/>
        </w:rPr>
        <w:t xml:space="preserve">Quelle: </w:t>
      </w:r>
      <w:r>
        <w:t>https://mcp.opencaselaw.ch/entscheid/vd_gerichte_ZQ12.018588</w:t>
      </w:r>
    </w:p>
    <w:p>
      <w:r>
        <w:t>FR: VD_GERICHTE ZQ12.018588 du 17 juin 2014</w:t>
      </w:r>
    </w:p>
    <w:p>
      <w:r>
        <w:t>IT: VD_GERICHTE ZQ12.018588 del 17 giugno 2014</w:t>
      </w:r>
    </w:p>
    <w:p>
      <w:pPr>
        <w:pStyle w:val="Heading2"/>
      </w:pPr>
      <w:r>
        <w:t>Erwägungen</w:t>
      </w:r>
    </w:p>
    <w:p>
      <w:r>
        <w:rPr>
          <w:b/>
        </w:rPr>
        <w:t>E. 1</w:t>
      </w:r>
    </w:p>
    <w:p>
      <w:r>
        <w:t>a) Les dispositions de la loi fédérale du 6 octobre 2000 sur la partie générale du droit des assurances sociales (LPGA ; RS 830.1) s'appliquent aux contestations relevant de la LACI (art. 1 al. 1 LACI [loi fédérale du 25 juin 1982 sur l'assurance-chômage obligatoire et l'indemnité en cas d'insolvabilité ; RS 837.0]). La voie du recours au Tribunal cantonal, conformément aux art. 100 al. 3 LACI et 128 al. 2 OACI (ordonnance du 31 août 1983 sur l'assurance-chômage obligatoire et l'indemnité en cas d'insolvabilité ; RS 837.02), est ouverte contre une décision sur opposition (art. 56 al. 1 LPGA), dans un délai de trente jours suivant la notification de la décision querellée (art. 60 al. 1 LPGA). Dans le cas présent, le recours a été formé dans le délai légal – compte tenu des féries judiciaires (art. 38 al. 4 let. a et 60 al. 2 LPGA) –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w:t>
      </w:r>
    </w:p>
    <w:p>
      <w:r>
        <w:t>- 7 - (art. 2 al. 1 let. c LPA-VD). La Cour des assurances sociales du Tribunal cantonal est compétente pour statuer (art. 93 let. a LPA-VD). La valeur litigieuse n'excédant pas 30'000 fr., la présente cause relève de la compétence d'un membre de la Cour, statuant en tant que juge unique (art. 94 al. 1 let. a LPA-VD).</w:t>
      </w:r>
    </w:p>
    <w:p>
      <w:r>
        <w:rPr>
          <w:b/>
        </w:rPr>
        <w:t>E. 2</w:t>
      </w:r>
    </w:p>
    <w:p>
      <w:r>
        <w:t>En l’espèce, est litigieux le caractère fautif – au sens de l’assurance-chômage – de la perte d’emploi subie par le recourant.</w:t>
      </w:r>
    </w:p>
    <w:p>
      <w:r>
        <w:rPr>
          <w:b/>
        </w:rPr>
        <w:t>E. 3</w:t>
      </w:r>
    </w:p>
    <w:p>
      <w:r>
        <w:t>a) Selon l’art. 30 al. 1 let. a LACI, le droit de l'assuré est suspendu lorsqu'il est établi qu'il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Autrement dit, deux conditions doivent être réalisées pour qu'une sanction puisse être valablement prononcée au sens de l'art. 44 al. 1 let. a OACI : il faut, d'une part, qu'existe un comportement précis du travailleur, et, d'autre part, que ce comportement ait donné à l'employeur un motif de résiliation du contrat de travail (Boris Rubin, Assurance-chômage, 2e éd., Zurich/Bâle/Genève 2006, n° 5.8.11.4.1 p. 432).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(par exemple une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 1986 p. 96 consid. 3 p. 97). Il suffit que le comportement de l'assuré en général ait constitué un motif de congé, même sans qu'il y ait des reproches d'ordre professionnel à lui faire. Tel peut être le cas aussi lorsque l'employé présente un</w:t>
      </w:r>
    </w:p>
    <w:p>
      <w:r>
        <w:t>- 8 - caractère, dans un sens large, qui rend les rapports de travail intenables (ATF 112 V 244 consid. 1 et les arrêts cités ; TF C_387/98 du 22 juin 1999). Il suffit que le comportement à l’origine de la résiliation ait pu être évité si l’assuré avait fait preuve de la diligence voulue, en se comportant comme si l’assurance n’existait pas (ATF 112 V 242 consid. 1 ; TFA C 212/04 du 16 février 2005 et C 32/03 du 13 août 2003). Il est nécessaire, en outre, que l’assuré ait délibérément contribué à son renvoi, c’est-à-dire qu’il ait au moins pu s’attendre à recevoir son congé et qu’il se soit ainsi rendu coupable d’un dol éventuel (Boris Rubin, Commentaire de la loi sur l’assurance-chômage, Schulthess 2014, p. 306, ch. 24 et les références citées ; Bulletin SECO LACI relatif à l'indemnité de chômage (IC) [ci-après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TFA C 190/06 du 20 décembre 2006, consid. 1.2 ; DTA 2001 n° 22 p. 170 consid. 3 ; Gerhards, Kommentar zum Arbeitslosen- versicherungsgesetz, n. 10 ss ad art. 30 ; Boris Rubin, op. cit., p. 308 ch. 31). Aucune suspension pour chômage fautif ne sera prononcée lorsque le comportement de l'assuré est excusable (Bulletin LACI n° D20 et 22).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- 9 -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w:t>
      </w:r>
    </w:p>
    <w:p>
      <w:r>
        <w:rPr>
          <w:b/>
        </w:rPr>
        <w:t>E. 4</w:t>
      </w:r>
    </w:p>
    <w:p>
      <w:r>
        <w:t>En l’espèce, l’intimée fonde la sanction litigieuse sur les motifs de licenciements invoqués par l’employeur en date du 21 juillet 2011, savoir un manque de rigueur dans le travail – en relation avec l’avertissement écrit du 22 mars 2011 – et l’implication dans deux accidents de la circulation routière. Pour sa part, le recourant reconnaît l’avertissement du 22 mars 2011 et les deux accidents du mois de juin 2011 ; il conteste en revanche avoir eu un comportement ayant engagé sa responsabilité dans le licenciement dont il a fait l’objet, alléguant des conditions de travail stressantes imposées par son ancien employeur. Dans le courrier d’avertissement du 22 mars 2011, il est retenu que l’assuré a présenté une attitude et un comportement inadéquats à l’égard d’un client, notamment en ce qui concerne le respect des règles usuelles de politesse et de savoir-vivre. Le courrier précité laisse comprendre que le recourant avait déjà été interpellé par son employeur en novembre 2010 en raison d’un comportement similaire. Dans cette mesure, l’assuré se devait d’adopter un comportement d’autant plus irréprochable et de se conformer aux exigences inhérentes au poste qu’il occupait. Or à lire la lettre de licenciement du 21 juillet 2011, le recourant n’aurait pas respecté les règles de bienséance fixées dans la lettre d’avertissement du 22 mars 2011. Il faut déduire du maintien des reproches de l’employeur à l’égard de l’assuré que ce dernier n’a pas su changer son attitude, malgré le fait que l’employeur l’ait interpellé à deux reprises à ce sujet (novembre 2010 et mars 2011). L’assuré n’a pas contesté l’avertissement du 22 mars 2011, et dès lors implicitement le manque de rigueur qui lui était reproché dans</w:t>
      </w:r>
    </w:p>
    <w:p>
      <w:r>
        <w:t>- 10 - son travail. Il soutient cependant qu’il s’agissait d’un problème d’horaire, alléguant dans son acte de recours que le client était mécontent en raison d’une livraison qui aurait été effectuée après l’heure donnée. Force est cependant de constater que le courrier du 22 mars 2011 ne fait pas référence à une plainte d’un client pour le retard dans la livraison mais au non-respect des règles usuelles de politesse et de savoir-vivre, éléments bien différents. Par ailleurs, l’assuré ne conteste pas sa responsabilité dans les accidents de la circulation survenus les 21 et 22 juin 2011, faits qui lui sont également reprochés dans la lettre de licenciement du 21 juillet 2011. Il allègue cependant que ces accidents sont survenus dans un contexte des plus stressants, de surcroît en milieu urbain, aux heures de pointe et en l’absence de signalisation adéquate. Or on constate que le caractère particulièrement stressant de son travail auprès de l’E.________ est évoqué pour la première fois devant la Cour de céans ; cet argument n’a pas été avancé précédemment, notamment dans le courrier du 15 décembre 2011 à son ancien employeur où il est question d’heures supplémentaires et de pauses de midi qu’il n’avait pas prises. Cela étant, il ressort du dossier que le recourant a percuté l’aile arrière d’une voiture parquée lors de l’accident du 21 juin 2011 et que le pare-brise avant de son véhicule a endommagé la marquise d’un garage lors de l’accident du 22 juin 2011 ; or on peut raisonnablement attendre d’un chauffeur professionnel – de surcroît employé par la même entreprise depuis près d’une année – qu’il connaisse les dimensions de son véhicule, notamment sa hauteur, et qu’il puisse déterminer si ce dernier peut passer ou non au vu des obstacles qui pourraient se trouver sur son chemin. En agissant comme il l’a fait, le recourant a clairement adopté un comportement qui a été à l’origine de son licenciement et qu’il aurait pu et dû éviter, en agissant avec la diligence requise, compte tenu de sa fonction ainsi que de l’avertissement qui lui avait été notifié. Aucun des arguments soulevés à l’appui de son recours ne permet d’établir, au degré de la vraisemblance requise, que son licenciement est dû à un autre motif que son comportement. En particulier, les allégations relatives à la</w:t>
      </w:r>
    </w:p>
    <w:p>
      <w:r>
        <w:t>- 11 - convention passée avec son ancien employeur ne sauraient aboutir à une conclusion différente. En effet, par cette convention, l’entreprise E.________ s’est engagée à versée un montant de 1'500 fr. net pour solde de toute prétention. Le recourant prétend qu’il s’agit-là d’une indemnité, ce qui démontrerait que le licenciement n’était pas justifié. Or dans son courrier du 15 décembre 2011 à son ex-employeur, le recourant n’a pas nié être responsable des deux accidents survenus en juin 2011, mais n’a fait que demander le paiement de ses heures supplémentaires au 30 septembre 2011, soit un montant de 2'816 fr. 60. Le montant versé par l’entreprise E.________, soit 1'500 fr., est ainsi à peine supérieur à la moitié des heures supplémentaires revendiquées par le recourant. Partant, on ne peut absolument pas prétendre, comme le fait l’assuré, que le versement des 1'500 fr. est l’aveu par l’ex-employeur d’un licenciement abusif. Ainsi, le comportement du recourant constituait un motif de résiliation du contrat de travail. C’est dès lors à juste titre que l’intimée, retenant que l’assuré était responsable de son chômage, a prononcé une décision de suspension sur la base de l’art. 30 al. 1 let. a LACI.</w:t>
      </w:r>
    </w:p>
    <w:p>
      <w:r>
        <w:rPr>
          <w:b/>
        </w:rPr>
        <w:t>E. 5</w:t>
      </w:r>
    </w:p>
    <w:p>
      <w:r>
        <w:t>Subsiste la question de l’examen de la durée de la suspension du droit à l’indemnité de chômage. a) La durée de la suspension est proportionnelle à la gravité de la faute ; selon l’art. 45 al. 3 OACI, elle est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2e éd., n. 855 p. 2435). En tant qu'autorité de surveillance, le Secrétariat d’Etat à l’économie (SECO) a adopté un barème (indicatif) à l'intention des organes d'exécution. Un tel barème constitue un instrument précieux pour ces organes d'exécution lors de la fixation de</w:t>
      </w:r>
    </w:p>
    <w:p>
      <w:r>
        <w:t>- 12 -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8C_577/2012 du 31 août 2012 consid. 3.2.2, et les références citées).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p. 328, ch. 110 ; ATF 137 V 71 consid. 5.2 ; TF 8C_285/2011 du 22 août 2011, consid. 3.1) b) Dans le cas présent, la quotité est adéquate. La Caisse n’a pas commis un abus ou un excès de son pouvoir d’appréciation en infligeant au recourant une suspension du droit à l’indemnité de chômage de 16 jours, ce qui correspond à la sanction minimale prévue en cas de faute moyenne. On ne voit pas du reste quelles circonstances pourraient amener à conclure à une faute de gravité légère. En particulier, le recourant a persisté à adopter un comportement inadéquat malgré les avertissements de son employeur et a causé deux accidents de la circulation en deux jours. Il ne fait par ailleurs valoir aucune circonstance personnelle justifiant une réduction de la durée de la suspension.</w:t>
      </w:r>
    </w:p>
    <w:p>
      <w:r>
        <w:rPr>
          <w:b/>
        </w:rPr>
        <w:t>E. 6</w:t>
      </w:r>
    </w:p>
    <w:p>
      <w:r>
        <w:t>a) Il résulte de ce qui précède que le recours, mal fondé, doit être rejeté et la décision attaquée confirmée.</w:t>
      </w:r>
    </w:p>
    <w:p>
      <w:r>
        <w:t>- 13 - b) La procédure est gratuite (art. 61 let. a LPGA). Vu le sort de la cause, le recourant n’a pas le droit à l’allocation de dépens (art. 61 let. g LPGA a contrario). Le recourant a été mis au bénéfice de l’assistance judiciaire, de sorte qu'une équitable indemnité au conseil juridique désigné d'office pour la procédure, sera supportée par le canton, provisoirement (art. 122 al. 1 let. a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Me Bertrand Demierre n’a pas produit la liste détaillée de ses opérations dans le délai qui lui a été imparti. En l’espèce, il convient de retenir la somme de 1'500 fr. (au tarif horaire de 180 fr. de l’avocat et 110 fr. de l’avocat stagiaire, plus TVA à 8 %) correspondant à la rémunération de l’ensemble des opérations effectuées à ce jour dans la présente procédure. Comme annoncé par courrier du 18 juin 2014, l’indemnité est, dès lors, fixée sur la base du dossier, et correspond ainsi au montant de 1'500 francs. Par ces motifs, la juge unique p r o n o n c e : I. Le recours est rejeté. II. La décision sur opposition rendue le 30 mars 2012 par la Caisse cantonale de chômage, Division juridique, est confirmée.</w:t>
      </w:r>
    </w:p>
    <w:p>
      <w:r>
        <w:t>- 14 - III. L’indemnité d’office de Me Bertrand Demierre, conseil du recourant, est arrêtée à 1'500 fr. (mille cinq cents francs), TVA comprise. IV. Le bénéficiaire de l’assistance judiciaire est, dans la mesure de l’art. 123 CPC applicable par renvoi de l’art. 18 al. 5 LPA- VD, tenu au remboursement de l’indemnité du conseil d’office mise à la charge de l’Etat. V. Il n’est pas perçu de frais judiciaires, ni alloué de dépens. La juge unique : La greffière : Du L'arrêt qui précède est notifié à : - Me Bertrand Demierre (pour W.________) - Caisse cantonale de chômage, division juridique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