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ZQ11.033274 vom 11. Januar 2012</w:t>
      </w:r>
    </w:p>
    <w:p>
      <w:r>
        <w:t>VD Tribunal cantonal, 2012-01-11, FR</w:t>
      </w:r>
    </w:p>
    <w:p>
      <w:r>
        <w:rPr>
          <w:b/>
        </w:rPr>
        <w:t xml:space="preserve">Quelle: </w:t>
      </w:r>
      <w:r>
        <w:t>https://mcp.opencaselaw.ch/entscheid/vd_gerichte_ZQ11.033274</w:t>
      </w:r>
    </w:p>
    <w:p>
      <w:r>
        <w:t>FR: VD_GERICHTE ZQ11.033274 du 11 janvier 2012</w:t>
      </w:r>
    </w:p>
    <w:p>
      <w:r>
        <w:t>IT: VD_GERICHTE ZQ11.033274 del 11 gennaio 2012</w:t>
      </w:r>
    </w:p>
    <w:p>
      <w:pPr>
        <w:pStyle w:val="Heading2"/>
      </w:pPr>
      <w:r>
        <w:t>Erwägungen</w:t>
      </w:r>
    </w:p>
    <w:p>
      <w:r>
        <w:rPr>
          <w:b/>
        </w:rPr>
        <w:t>E. 1</w:t>
      </w:r>
    </w:p>
    <w:p>
      <w:r>
        <w:t>LPGA). Le recours doit être déposé dans les trente jours suivant la notification de la décision sujette à recours (art. 60 al. 1 LPGA). b) La LPA-VD (loi cantonale vaudoise du 28 octobre 2008 sur la procédure administrative ; RSV 173.36) s'applique aux recours et contestations par voie d'action dans le domaine des assurances sociales (art. 2 al. 1 let. c LPA-VD) et prévoit à cet égard la compétence de la Cour</w:t>
      </w:r>
    </w:p>
    <w:p>
      <w:r>
        <w:t>- 7 - des assurances sociales du Tribunal cantonal (art. 93 al. 1 let. a LPA-VD). La valeur litigieuse est inférieure à 30'000 fr., de sorte que la cause est de la compétence d'un juge unique (art. 94 al. 1 let. a LPA-VD). c) En l'espèce, le recours a été interjeté en temps utile compte tenu des féries (art. 38 al. 4 let. b LPGA), auprès du tribunal compétent et il satisfait aux autres conditions de forme (art. 61 let. b LPGA), de sorte qu'il est recevable.</w:t>
      </w:r>
    </w:p>
    <w:p>
      <w:r>
        <w:rPr>
          <w:b/>
        </w:rPr>
        <w:t>E. 2</w:t>
      </w:r>
    </w:p>
    <w:p>
      <w:r>
        <w:t>a) A teneur de l'art. 30 al. 1 let. a LACI, le droit de l'assuré à l'indemnité est suspendu lorsqu'il est établi que celui-ci est sans travail par sa propre faute. Est notamment réputé sans travail par sa propre faute l'assuré qui par son comportement, en particulier par la violation de ses obligations contractuelles de travail, a donné à son employeur un motif de résiliation du contrat de travail (art. 44 al. 1 let. a de l'ordonnance du 31 août 1983 sur l’assurance-chômage obligatoire et l’indemnité en cas d’insolvabilité [OACI; RS 837.02]). Un comportement non fautif, mais simplement évitable peut être à l'origine d'une sanction. Cela signifie que même hors des cas de violation des obligations contractuelles, l'assuré encourt une sanction lorsqu'il aurait pu éviter un comportement donné en faisant preuve de la diligence voulue (Boris Rubin, Assurance-chômage, Droit fédéral, Survol des mesures cantonales, Schulthess, 2006, p. 432 et les jurisprudence citées). La validité d'une sanction est également indépendante du fait que le congé découle ou non d'une attitude incorrecte ou blâmable du travailleur. Une telle attitude ne constitue du reste pas forcément une violation des obligations contractuelles (Rubin, op. cit., p. 434). Il reste que, selon l'art. 20 let. b et c de la Convention no 168 de l'Organisation internationale du travail (OIT) concernant la promotion de l'emploi et la protection contre le chômage du 21 juin 1988 (RS 0.822.726.8), pour justifier une suspension, le comportement reproché à l'assuré doit être volontaire, sachant qu'un dol éventuel doit être admis lorsque la personne concernée pouvait et devait prévoir que son</w:t>
      </w:r>
    </w:p>
    <w:p>
      <w:r>
        <w:t>- 8 - comportement allait amener l'employeur à résilier le contrat (cf. TF C 277/06 du 3 avril 2001, consid. 2; C 230/01 du 13 février 2003, consid. 1; cf. aussi ATF 124 V 234, consid. 3c). b) Une faute au sens de l'assurance-chômage ne suppose pas nécessairement, comme en droit pénal ou civil, que l'on doive imputer à l'assuré un comportement répréhensible ; elle est réalisée dès que la survenance du chômage ne relève pas de facteurs objectifs, mais réside dans un comportement que l'assuré pouvait éviter au vu des circonstances et des relations personnelles en cause (TF C 218/00 du 30 novembre 2000; DTA 1982 No 4; arrêt du Tribunal administratif PS.2007.0085 du 14 janvier 2008, consid. 2). Il suffit que le comportement général de l'assuré ait donné lieu au congédiement de celui-ci, même sans qu'il y ait des reproches d'ordre professionnel à lui faire (ATF 112 V 242, consid. 1; TF 8C_660/2009 du 18 mars 2010, consid. 3). Conformément au principe de l'obligation de diminuer le dommage, l'assuré doit s'efforcer de faire tout ce qui est en son pouvoir pour réduire le dommage ou éviter la réalisation du risque assuré (arrêt du tribunal administratif PS.2006.0263 du 12 mars 2007, consid. 2a/bb; DTA 1981 No 29). Toutefois, l'incapacité du travailleur à accomplir son travail conformément à ce qui a été convenu n'entraîne une suspension du droit à l'indemnité de chômage que dans des cas précis. C'est ainsi qu'une suspension du droit à l'indemnité ne se justifie, en cas de résiliation du contrat, que si l'employé a fait preuve de mauvaise volonté, de mauvaise foi ou d'un manque de rendement fautif (TF C 218/05 du 10 juillet 2006, consid. 3; Rubin, op. cit., p. 433). Dans ce cas de figure, le licenciement trouve son origine dans une faute de l'assuré, ce qui justifie une sanction. Dans les autres cas, l'assuré n'a commis aucune faute et ne peut dès lors être sanctionné (Rubin, op. cit., p. 433). Le Secrétariat d'Etat à l'économie (ci-après: Seco) déclare dans sa Circulaire de janvier 2007 relative à l'indemnité chômage (ci-après: IC 2007) que la suspension du droit à l'indemnité a pour but de faire participer d'une manière appropriée l'assuré au dommage qu'il a causé à</w:t>
      </w:r>
    </w:p>
    <w:p>
      <w:r>
        <w:t>- 9 - l'assurance par son comportement fautif. Elle a en outre pour but d'exercer une certaine pression sur l'assuré afin qu'il remplisse ses obligations. La durée de la suspension se mesure d'après le degré de gravité de la faute commise et non en fonction du dommage causé (IC 2007, D1). c) Une suspension du droit à l'indemnité ne peut cependant être infligée à l'assuré que si le comportement reproché à celui-ci est clairement établi. Lorsqu'un différend oppose l'assuré à son employeur, les seules affirmations de ce dernier ne suffisent pas à établir une faute contestée par l'assuré et non confirmée par d'autres preuves ou indices aptes à convaincre l'administration ou le juge (ATF 112 V 242, consid. 1; TF 8C_660/2009 du 18 mars 2010, consid. 3). Une faute n'est pas établie au degré requis lorsque, en cas de rupture d'un contrat de travail, les indications de l'employeur manquent de crédibilité. De même, il convient de se fonder tant sur les déclarations de l'employeur que sur celles du travailleur pour déterminer si le chômage est fautif. Il ne faut pas donner systématiquement la préférence aux déclarations de l'employeur. Des motifs vagues de congé, qu'aucune preuve ni indice ne viennent étayer, ne permettent pas de conclure à une faute de comportement du travailleur qui tombe au chômage. Dans les cas où la faute ne peut être établie clairement, il faut plutôt avertir que sanctionner (Rubin, op. cit., p. 374).</w:t>
      </w:r>
    </w:p>
    <w:p>
      <w:r>
        <w:rPr>
          <w:b/>
        </w:rPr>
        <w:t>E. 3</w:t>
      </w:r>
    </w:p>
    <w:p>
      <w:r>
        <w:t>mai 2006, contenait une clause particulière qui indiquait un intérêt de l'employeur à ce que celui qui allait être son représentant soit domicilié à proximité de sa région de travail. Comme le relève toutefois le recourant, le contrat signé en 2007 ne portait plus cette disposition particulière. L'employeur donne des explications à ce sujet dans sa lettre du 22 juin 2011, puisqu'il expose que l'entreprise avait refait de nouveaux contrats en décembre 2007 pour l'entier du personnel du groupe et que la clause concernant le domicile avait simplement été omise. Cette problématique du domicile aurait néanmoins, selon l'employeur, continué à être évoquée oralement avec le recourant. Nonobstant ces explications, il reste que, si l'assuré avait conclu son contrat de travail en étant conscient que son employeur souhaitait qu'il soit domicilié en région genevoise, ce souhait n'avait pas été érigé en condition. Son importance pour l'employeur doit aussi être jaugée à la lumière des éléments et indices objectifs figurant au dossier (puisqu'employeur et employé ont sur ce point des versions différentes), soit en considérant : - l'absence au contrat initial d'une clause contraignante avec un délai imparti à l'assuré pour l'établissement de son domicile, - l'omission d'une telle clause dans le contrat de travail établi près d'une année après pour l'assuré, - l'absence d'un quelconque rappel formel de la part de l'employeur sur ce point durant quatre ans de relations de travail, - l'absence de cette exigence dans la lettre d'avertissement du 29 juin 2010, - la mention de la question du domicile comme facteur pénalisant la présence de l'assuré à Genève et ses contacts avec la clientèle, mais présentation d'exigence expresse de ce point de vue, - la perspective d'une réaffectation à un emploi dans le canton de Vaud.</w:t>
      </w:r>
    </w:p>
    <w:p>
      <w:r>
        <w:t>- 11 - Au vu de ces éléments, on doit constater qu'en tout cas, avant septembre 2010, il n'existe pas d'élément au dossier qui puisse indiquer de manière claire, comme l'impose la jurisprudence, que l'assuré devait comprendre qu'il allait perdre son emploi à défaut de domiciliation à Genève. En particulier, on doit relever que l'employeur n'a jamais posé expressément ce changement de domicile comme étant une condition de la poursuite des relations contractuelles. Au contraire, c'est en définitive d'autres griefs qui ont été évoqués dans la lettre d'avertissement de juin 2010, avec en dernier lieu la mention d'objectifs en matière de chiffre d'affaire. L'employeur affirme que le domicile avait été évoqué dans les discussions intervenues durant le premier semestre 2010, mais il n'existe ni preuve, ni même un indice au dossier, qui permettent de retenir que cette exigence avait été communiquée clairement et, de nouveau, on doit constater que le contenu de la lettre d'avertissement indique plutôt le contraire. Dans cette mesure, jusque et y compris en août 2010, l'assuré était conscient de l'insatisfaction de l'employeur, mais les griefs ou exigences directs qui lui étaient présentés ne permettent pas de considérer comme clairement établie que la condition pour la poursuite des rapports de travail posée par son employeur était celle d'un changement de domicile. b) Par la suite, la question du domicile est cette fois expressément évoquée par l'employeur dans son courrier de septembre 2010. Cette question est toutefois soulevée plus de 4 ans après l'engagement de l'assuré, alors que son travail n'a apparemment pas été remis en cause jusqu'au début 2010. La question du domicile n'est en outre pas présentée par l'employeur comme une condition directe à la poursuite des relations de travail, mais comme un élément qui permettrait de répondre à une autre problématique, soit celle d'un "défaut d'implication sur le marché genevois" reproché à l'employé. Il est hors de doute que l'assuré a alors pris note des souhaits de son employeur, puisqu'il dit avoir cherché un logement dans la région</w:t>
      </w:r>
    </w:p>
    <w:p>
      <w:r>
        <w:t>- 12 - genevoise. En revanche, il n'avait pas à considérer que cette seule question du domicile déterminerait la suite des relations de travail - et non la résolution des points relevés dans la lettre d'avertissement qui paraissaient constituer les éléments d'une "implication sur le marché" mise en question par son employeur -. Le recourant pouvait d'autant moins le présumer que cette question n'avait à nouveau pas été présentée comme une exigence directe de l'employeur, qu'un point de la situation était prévu en novembre et que la question de l'attribution d'une région sur le canton de Vaud avait été évoquée. Quant à l'entretien intervenu en novembre, son contenu et ses résultats ne résultent pas clairement du dossier. Le recourant dit y avoir été félicité pour les efforts entrepris. L'employeur pour sa part n'indique pas qu'à cette occasion l'exigence d'une prise de domicile à Genève aurait été renouvelée, ni de manière à ce que cette condition soit ajoutée au contrat de travail, ni même de manière plus informelle, mais de sorte à ce que l'employé ait été avisé qu'il serait mis un terme à ses relations de travail, nonobstant les efforts ou résultats obtenus, s'il ne déménageait pas. S'agissant de la création d'un nouveau poste sur territoire vaudois, elle est confirmée par les deux parties au contrat de travail. La divergence intervient là du fait que, pour le recourant, cette hypothèse indiquait que la question d'un domicile à Genève pouvait ne plus être d'actualité, alors que l'employeur semble avoir considéré cette création de poste comme la dernière opportunité offerte à son salarié avant de procéder à son licenciement. Comme vu précédemment, le dossier ne permet pas d'établir si l'employeur a fait connaître de manière claire ses intentions au recourant et si donc, ce dernier avait pu reconnaître chez son employeur l'intention, à défaut de création du poste envisagé, de se départir du contrat sans nouvelle discussion. Dans cette mesure, la question reste de savoir si le recourant savait qu'à défaut d'un déménagement début 2011 au plus tard il allait perdre son emploi, ou même, simplement et tout</w:t>
      </w:r>
    </w:p>
    <w:p>
      <w:r>
        <w:t>- 13 - d'abord, qu'un changement de domicile était la condition "sine qua non" pour lui permettre de donner satisfaction à l'employeur et de solutionner la situation. Contrairement à ce que retient la Caisse, l'on ne peut ainsi reprocher au recourant d'avoir fauté pour n'avoir pas donné satisfaction à son employeur en déménageant, alors même que ce dernier n'a en définitive jamais clairement énoncé cette exigence comme conditionnant la conclusion, puis la poursuite des rapports de travail. La lettre du 22 juin 2011 de l'employeur est à cet égard symptomatique puisqu'il y évoque à nouveau, non pas le domicile de son employé, mais un manque d'implication sur le marché genevois comme étant le motif du licenciement. Quant à ce dernier grief, s'il est énoncé de manière constante par l'employeur, ni ce dernier, ni la Caisse n'expliquent en quoi il y aurait là une mauvaise volonté, une mauvaise foi ou non seulement un manque de rendement, mais un manque de rendement fautif du recourant, qui aurait amené le licenciement et justifierait une sanction. Au vu de ce qui précède, il convient d'annuler la décision attaquée, dès lors que le dossier ne permet pas d'établir avec la clarté nécessaire une faute causale et intentionnelle - à tout le moins en tant que dol éventuel - quant à la perte de son emploi par l'assuré. c) Pour le surplus, il n'y a pas lieu d'examiner si le recourant a été "victime" d'une restructuration, consistant en son remplacement par un collègue du nouveau chef de l'agence de Genève. De même, la question peut rester ouverte de savoir si, dans le cas d'espèce, l'employeur était en droit d'exiger du recourant qu'il change de domicile, notamment au vu du type d'emploi en cause, si ce changement pouvait lui être imposé dans le cadre de son obligation de réduire son dommage, ou si au contraire les exigences de l'employeur étaient abusives (cf. Bernhard Pulver, Die Verbindlichkeit staatlicher Schutzpflichten - am Bespiel des Arbeitsrechts, in PJA 2005 413, p. 419, ad note 63).</w:t>
      </w:r>
    </w:p>
    <w:p>
      <w:r>
        <w:t>- 14 -</w:t>
      </w:r>
    </w:p>
    <w:p>
      <w:r>
        <w:rPr>
          <w:b/>
        </w:rPr>
        <w:t>E. 4</w:t>
      </w:r>
    </w:p>
    <w:p>
      <w:r>
        <w:t>Il n'y a pas lieu de percevoir un émolument judiciaire, la procédure étant gratuite (art. 61 let. a LPGA). Obtenant gain de cause avec l'assistance de son assurance protection juridique, le recourant a droit à des dépens qui, au vu de l'ampleur de la procédure, doivent être arrêtés à 1'000 fr. (art. 61 let. g LPGA, 55 al. 1 LPA-VD). Par ces motifs, le juge unique p r o n o n c e : I. Le recours est admis. II. La décision sur opposition prise le 6 juillet 2011 par la Caisse de chômage B.________ est annulée. III. Il n'est pas perçu de frais judiciaires. IV. Caisse de chômage B.________ versera à Z.________ la somme de 1'000 fr (mille francs) à titre de dépens. La juge unique : Le greffier :</w:t>
      </w:r>
    </w:p>
    <w:p>
      <w:r>
        <w:t>- 15 - Du L'arrêt qui précède est notifié à : - AXA-ARAG protection juridique (pour Z.________), - Caisse de chômage B.________,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