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ZQ11.032106 vom 12. März 2013</w:t>
      </w:r>
    </w:p>
    <w:p>
      <w:r>
        <w:t>VD Tribunal cantonal, 2013-03-12, FR</w:t>
      </w:r>
    </w:p>
    <w:p>
      <w:r>
        <w:rPr>
          <w:b/>
        </w:rPr>
        <w:t xml:space="preserve">Quelle: </w:t>
      </w:r>
      <w:r>
        <w:t>https://mcp.opencaselaw.ch/entscheid/vd_gerichte_ZQ11.032106</w:t>
      </w:r>
    </w:p>
    <w:p>
      <w:r>
        <w:t>FR: VD_GERICHTE ZQ11.032106 du 12 mars 2013</w:t>
      </w:r>
    </w:p>
    <w:p>
      <w:r>
        <w:t>IT: VD_GERICHTE ZQ11.032106 del 12 marzo 2013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le recours se révèle mal fondé et doit donc être rejeté, ce qui entraîne la confirmation de la décision attaquée, par substitution de motifs.</w:t>
      </w:r>
    </w:p>
    <w:p>
      <w:r>
        <w:t>- 28 - b) Il n'y a pas lieu de percevoir de frais judiciaires, la procédure étant gratuite (art. 61 let. a LPGA), ni d'allouer de dépens, dès lors que le recourant n'obtient pas gain de cause (art. 55 al. 1 LPA-VD ;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