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ZQ11.010630 vom 11. April 2011</w:t>
      </w:r>
    </w:p>
    <w:p>
      <w:r>
        <w:t>VD Tribunal cantonal, 2011-04-11, FR</w:t>
      </w:r>
    </w:p>
    <w:p>
      <w:r>
        <w:rPr>
          <w:b/>
        </w:rPr>
        <w:t xml:space="preserve">Quelle: </w:t>
      </w:r>
      <w:r>
        <w:t>https://mcp.opencaselaw.ch/entscheid/vd_gerichte_ZQ11.010630</w:t>
      </w:r>
    </w:p>
    <w:p>
      <w:r>
        <w:t>FR: VD_GERICHTE ZQ11.010630 du 11 avril 2011</w:t>
      </w:r>
    </w:p>
    <w:p>
      <w:r>
        <w:t>IT: VD_GERICHTE ZQ11.010630 del 11 aprile 2011</w:t>
      </w:r>
    </w:p>
    <w:p>
      <w:pPr>
        <w:pStyle w:val="Heading2"/>
      </w:pPr>
      <w:r>
        <w:t>Erwägungen</w:t>
      </w:r>
    </w:p>
    <w:p>
      <w:r>
        <w:rPr>
          <w:b/>
        </w:rPr>
        <w:t>E. 11</w:t>
      </w:r>
    </w:p>
    <w:p>
      <w:r>
        <w:t>al. 1 OPGA ([ordonnance du 11 septembre 2002 sur la partie générale du droit des assurances sociales; RS 830.11], en relation avec l'art. 52 LPGA), que cette disposition prévoit que l’opposition a un effet suspensif, sauf: a. si un recours contre la décision prise sur opposition n’a pas d’effet suspensif de par la loi; b. si l’assureur a retiré l’effet suspensif dans sa décision; c. si la décision a une conséquence juridique qui n’est pas sujette à suspension, que l’effet suspensif de l’opposition a été retiré par la Caisse cantonale de chômage dans sa décision du 29 novembre 2010, en conséquence immédiatement applicable, que la Caisse cantonale de chômage a certes créé une certaine confusion en indiquant dans un premier temps que le montant de 7'465 fr. 15 dont la restitution était demandée, serait compensé dès</w:t>
      </w:r>
    </w:p>
    <w:p>
      <w:r>
        <w:t>- 4 - l’entrée en force de la décision, puis dans l’indication des voies de droit qu’une opposition contre cette décision n’aurait pas d’effet suspensif, que le refus de restituer l’effet suspensif ressort toutefois clairement de la décision incidente du 15 février 2011 qui confirme à cet égard la décision du 29 novembre 2010 de la Caisse cantonale de chômage; attendu que l'entrée en vigueur de la LPGA et de l'OPGA n'a rien changé à la jurisprudence en matière de retrait par l'administration de l'effet suspensif à une opposition ou à un recours, qu’ainsi, la possibilité de retirer l'effet suspensif à l'opposition (art. 11 al. 1 et 2 OPGA) n'est pas subordonnée à la condition qu'il existe, dans le cas particulier, des circonstances tout à fait exceptionnelles qui justifient cette mesure, qu'il incombe bien plutôt à l'autorité d'examiner si les motifs qui parlent en faveur de l'exécution immédiate de la décision l'emportent sur ceux qui peuvent être invoqués à l'appui de la solution contraire, que l'autorité dispose à cet égard d'une certaine liberté d'appréciation et qu'elle se fondera, en général, sur l'état de fait tel qu'il résulte du dossier, sans effectuer de longues investigations supplémentaires, qu'en procédant à la pesée des intérêts en présence, les prévisions sur l'issue du litige au fond peuvent également être prises en considération, dans la mesure où elles ne font aucun doute (ATF 124 V 82 c. 6a; ATF 117 V 185 c. 2b; TFA I 540/06 du 26 octobre 2006 c. 2.2), que, lorsque sont mis en balance, d'une part, l'intérêt financier de l'assuré au maintien des prestations d’assurance sans attendre l'issue du litige au fond et, d'autre part, l'intérêt de l'assureur social à ne pas verser des prestations qu'il ne pourra vraisemblablement recouvrer à</w:t>
      </w:r>
    </w:p>
    <w:p>
      <w:r>
        <w:t>- 5 - l'issue du procès s'il obtient gain de cause, l'intérêt de l'administration apparaît généralement prépondérant et l'emporte sur celui de l'assuré (ATF 124 V 82 précité c. 4; ATF 119 V 503 c. 4 et les références; TFA I 231/06 du 24 mai 2006 c. 4.3); attendu que sur la base d’un examen sommaire du dossier, il n’est guère possible de déterminer l’issue du litige au fond qui de surcroît est pendant devant une autre autorité, la division juridique de la Caisse cantonale de chômage, que la procédure de restitution est essentiellement consécutive à l’octroi d’une rente d’invalidité entière (du 1er février 2007 au 31 octobre 2007), puis partielle (dès le 1er novembre 2007), versée rétroactivement par l’assurance-invalidité, la Caisse cantonale de chômage ayant toutefois, par erreur, omis de demander la compensation de sa créance, que lorsque l’obligation de restituer fait suite à l’octroi d’une rente à titre rétroactif, on peut raisonnablement exiger de l’assuré qu’il s’acquitte de son obligation de restituer, dans la mesure où il ne serait pas admissible que le capital obtenu grâce au payement de la rente arriérée conduise à une surindemnisation, que ce principe ne s’applique toutefois que si les prestations rétroactives se rapportent à une période identique et pour autant que le capital soit encore disponible au moment de la restitution (TFA C 221/00 du 15 novembre 2000 c. 3; TFA C 304/99 du 14 mars 2000), qu’en l’état, il est à craindre que le rétroactif versé à la recourante soit complètement épuisé au moment où la restitution pourrait devoir se faire et qu’elle entraînerait alors des rigueurs particulières pour Z.________, qu’il ressort de surcroît des pièces au dossier que le délai- cadre d’indemnisation de la recourante se termine début août 2011,</w:t>
      </w:r>
    </w:p>
    <w:p>
      <w:r>
        <w:t>- 6 - qu’en revanche, la recourante pourra obtenir aisément le remboursement des prestations arriérées, si elle devait obtenir gain de cause sur le fond, que l’intérêt de l’administration à compenser le montant de 7'465 fr. 15 immédiatement l’emporte donc sur celui de la recourante; attendu que l’art. 94 al. 1 LACI prévoit que les restitutions et les prestations dues en vertu de la présente loi peuvent être compensées les unes par les autres ainsi que par des restitutions et des rentes ou indemnités journalières dues au titre de I’AVS, de l’assurance-invalidité, de la prévoyance professionnelle, du régime des allocations pour perte de gain en faveur de personnes astreintes au service militaire, au service civil ou à la protection civile, de l’assurance militaire, de l’assurance-accidents obligatoire, de l’assurance-maladie, ainsi que des prestations complémentaires de l’AVS/AI et des allocations familiales légales; que, conformément à la jurisprudence, si l’extinction d’une créance par compensation est considérée comme un principe fondamental du droit des assurances sociales (ATF 110 V 183 c. 2 p.185), il n’en demeure pas moins qu’elle ne doit pas entamer le minimum vital fixé par l’art. 93 LP (loi fédérale du 11 avril 1889 sur la poursuite pour dettes et la faillite; RS 281.1) (ATF 131 V 147 c. 5.1 et 5.2; 115 V 341 c. 2c), qu’à cet égard, la recourante s’est contentée d’alléguer que son minimum vital était atteint par la compensation, sans pour autant apporter de preuves chiffrées permettant d’admettre le contraire, que si, par la suite, la recourante devait rendre vraisemblable l’atteinte à son minimum vital, la Caisse cantonale de chômage devrait alors procéder à la rectification du montant compensé,</w:t>
      </w:r>
    </w:p>
    <w:p>
      <w:r>
        <w:t>- 7 - qu’au vu de ce qui précède, le recours contre la décision incidente de refus d’effet suspensif doit être rejeté et la décision confirmée, qu’il y a lieu de statuer sans frais. Par ces motifs, la juge unique p r o n o n c e : I. Le recours est rejeté. II. La décision incidente du 15 février 2011 est confirmée. III. Le présent arrêt est rendu sans frais. La juge unique : Le greffier : Du L’arrêt qui précède est notifié à : - Me Corinne Monnard Séchaud, avocate (pour Z.________),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RS 173.110), cas échéant d'un recours</w:t>
      </w:r>
    </w:p>
    <w:p>
      <w:r>
        <w:t>- 8 -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