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ZQ10.032302 vom 3. Mai 2011</w:t>
      </w:r>
    </w:p>
    <w:p>
      <w:r>
        <w:t>VD Tribunal cantonal, 2011-05-03, FR</w:t>
      </w:r>
    </w:p>
    <w:p>
      <w:r>
        <w:rPr>
          <w:b/>
        </w:rPr>
        <w:t xml:space="preserve">Quelle: </w:t>
      </w:r>
      <w:r>
        <w:t>https://mcp.opencaselaw.ch/entscheid/vd_gerichte_ZQ10.032302</w:t>
      </w:r>
    </w:p>
    <w:p>
      <w:r>
        <w:t>FR: VD_GERICHTE ZQ10.032302 du 3 mai 2011</w:t>
      </w:r>
    </w:p>
    <w:p>
      <w:r>
        <w:t>IT: VD_GERICHTE ZQ10.032302 del 3 maggio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c LPA-VD). c) La valeur litigieuse étant susceptible de dépasser 30'000 fr., compte tenu du montant des indemnités journalières et du nombre maximum d'indemnités journalières auxquelles le recourant pourrait, le cas échéant, avoir droit (cf. art. 27 LACI), la présente cause doit être tranchée par la cour composée de trois magistrats et non par un juge unique (cf. art. 94 al. 1 let. a LPA-VD).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- 8 -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w:t>
      </w:r>
    </w:p>
    <w:p>
      <w:r>
        <w:rPr>
          <w:b/>
        </w:rPr>
        <w:t>E. 3</w:t>
      </w:r>
    </w:p>
    <w:p>
      <w:r>
        <w:t>Le litige porte sur le droit du recourant à l’indemnité de chômage dès le 16 octobre 2009.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b) La jurisprudence considère, par ailleurs, qu'un travailleur qui jouit d'une situation comparable à celle d'un employeur – ou son conjoint – n'a pas droit à l'indemnité de chômage (art. 8 ss LACI) lorsque, bien que</w:t>
      </w:r>
    </w:p>
    <w:p>
      <w:r>
        <w:t>- 9 -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 14 p. 41 s., TFA C 279/00, consid. 2a et DTA 2000 n° 14 p. 70, C 208/99, consid. 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(ATF 123 V 234 consid. 7b/bb; TF 8C_415/2008 du 23 janvier 2009, consid. 3.2; TF 8C_515/2007 du 8 avril 2008, consid. 2.2; TF C 211/06 du 29 août 2007, consid. 2.1; voir aussi DTA 2004 p. 259, TFA C 65/04, consid. 2; SVR 2001 ALV n° 14 p. 41 s., TFA C 279/00, consid. 2a et DTA 2000 n° 14 p. 70, TFA C 208/99,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w:t>
      </w:r>
    </w:p>
    <w:p>
      <w:r>
        <w:t>- 10 -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TFA C 163/04 du 29 août 2005 consid. 2.2; TFA C 141/03 du 9 décembre 2003, consid. 4; TFA C 92/02 du 14 avril 2003, in DTA 2003 n° 22 p. 242 consid. 4).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 227 s. consid. 1b et 2; SVR 1997 ALV n° 101 p. 311 consid. 5c).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 nécessaire de déterminer plus concrètement les responsabilités qu'ils</w:t>
      </w:r>
    </w:p>
    <w:p>
      <w:r>
        <w:t>- 11 -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 radiation de l’inscription permet d’admettre sans équivoque que l’assuré a quitté la société (TF C 157/06 du 22 janvier 2007, consid. 3.2; TFA C 175/04 du 29 novembre 2005).</w:t>
      </w:r>
    </w:p>
    <w:p>
      <w:r>
        <w:rPr>
          <w:b/>
        </w:rPr>
        <w:t>E. 4</w:t>
      </w:r>
    </w:p>
    <w:p>
      <w:r>
        <w:t>a) En l’espèce, le recourant fait valoir en substance que la K.________ Sàrl avait cessé toute activité au moment de la remise du commerce soit le 31 décembre 2008. A.T.________ soutient par ailleurs que la société était devenue une «simple coquille vide» depuis la vente du fonds de commerce, les opérations liées à la liquidation ayant été réalisées entre la remise du commerce et la faillite de la société. Aussi, selon le recourant, il convenait de considérer qu'il ne se trouvait plus dans une position assimilable à celle d'un employeur depuis la fin 2008, au plus tard depuis le 3 septembre 2009, date du prononcé de la faillite de ladite société. b) Contrairement à ce que voudrait le recourant, on ne peut déduire de l'aliénation du fonds de commerce lié à l'exploitation de deux boulangeries sises à la rue [...] et à la rue [...] à [...] avec effet au 31 décembre 2008, que la société K.________ Sàrl avait cessé définitivement toute activité à partir de cette date. L'absence d'activité de la société ne suffisait pas à exclure que la société pût poursuivre la réalisation de son</w:t>
      </w:r>
    </w:p>
    <w:p>
      <w:r>
        <w:t>- 12 - but social avec un autre établissement. Le but initial de la Sàrl perdurait, en l'occurrence l’exploitation de commerces de boulangerie, pâtisserie, confiserie, tea-room, commerce de tous produits alimentaires, et non pas uniquement, comme le recourant semble le penser, l'exploitation des deux boulangeries précitées. Le préambule de la convention de remise du commerce du 17 novembre 2008 est à ce titre sans équivoque, puisqu'il rappelle que la société K.________ Sàrl exploite diverses boulangeries à [...] et que la société F.________ souhaite reprendre deux des points de vente. L'ouverture de la faillite de la K.________ Sàrl en date du 3 septembre 2009 n'est d'aucun secours au recourant, car il n'a ni quitté définitivement l'entreprise en raison de la fermeture de celle-ci, ni rompu tout lien avec la Sàrl postérieurement à la décision attaquée du</w:t>
      </w:r>
    </w:p>
    <w:p>
      <w:r>
        <w:rPr>
          <w:b/>
        </w:rPr>
        <w:t>E. 6</w:t>
      </w:r>
    </w:p>
    <w:p>
      <w:r>
        <w:t>septembre 2010. Ainsi, la fin d'une Sàrl nécessite en priorité de procéder à sa dissolution (TF C 72/06 du 16 avril 2007 consid. 7.2; TFA C 267/05 du 19 décembre 2006, consid. 4.3.2 et C 37/02 du 22 novembre 2002, consid. 6), laquelle peut notamment intervenir par l'ouverture de la faillite (art. 821 al. 1 ch. 3 CO). Une fois dissoute, la société subsiste jusqu'à sa radiation du registe du commerce avec un but restreint qui est précisément sa liquidation et sa radiation (Christoph Stäubli, Basler Kommentar zum schweizerischen Privatrecht, Obligationenrecht II, Bâle 2002, pp. 1374 ss, ad art. 820 ss CO; Pascal Montavon, SARL, Lausanne 1998, p. 177 ss). Selon l'art. 739 al. 1 CO applicable par analogie, la société en liquidation garde sa personnalité et conserve sa raison sociale, à laquelle s'ajoutent les mots "en liquidation". Pendant la liquidation, les pouvoirs des organes sociaux sont restreints aux actes qui sont nécessaires à cette opération et qui, de par leur nature, ne sont point du ressort des liquidateurs (cf. art. 739 al. 2 CO). En fait notamment partie, le choix de la poursuite des activités de l'entreprise jusqu'à sa vente ou sa radiation (cf. VSI 1994 p. 36 consid. 6c p. 37 [TFA H 73/91 du 13 septembre 1993,]) et les références). Cette situation exclut le droit à l'indemnité de chômage de l'assuré (TF 8C_481/2010 du 15 février 2011, consid. 4.2; TFA C 267/05 du 19 décembre 2006, consid. 4.3.2, DTA 2002, p. 185 consid. 3b). Au demeurant, si comme le prétend l'assuré, l'ensemble des opérations de liquidation de la société a été effectué avant</w:t>
      </w:r>
    </w:p>
    <w:p>
      <w:r>
        <w:t>- 13 - la mise en faillite de la société le 3 septembre 2009, on peine à comprendre pour quel motif la radiation de l'inscription de la société, qui permet d'admettre sans équivoque qu'un assuré a quitté sa société, n'est toujours pas intervenue à ce jour. Dans ces circonstances, le risque d'abus que représente le paiement d'une indemnité de chômage à un travailleur occupant une position analogue à celle d'un employeur au sens de l'art. 31 al. 3 litt. c LACI est réalisé. 5. Par conséquent, l'intimée était fondée, par sa décision sur opposition du 6 septembre 2010, à nier le droit du recourant à une indemnité de chômage depuis le 16 octobre 2009. Le jugement entrepris n'est dès lors pas critiquable et le recours se révèle mal fondé. Il n'y a pas lieu de percevoir des frais judiciaires, la procédure étant gratuite, ni d'allouer des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