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ZQ10.020060 vom 15. Juni 2011</w:t>
      </w:r>
    </w:p>
    <w:p>
      <w:r>
        <w:t>VD Tribunal cantonal, 2011-06-15, FR</w:t>
      </w:r>
    </w:p>
    <w:p>
      <w:r>
        <w:rPr>
          <w:b/>
        </w:rPr>
        <w:t xml:space="preserve">Quelle: </w:t>
      </w:r>
      <w:r>
        <w:t>https://mcp.opencaselaw.ch/entscheid/vd_gerichte_ZQ10.020060</w:t>
      </w:r>
    </w:p>
    <w:p>
      <w:r>
        <w:t>FR: VD_GERICHTE ZQ10.020060 du 15 juin 2011</w:t>
      </w:r>
    </w:p>
    <w:p>
      <w:r>
        <w:t>IT: VD_GERICHTE ZQ10.020060 del 15 giugno 2011</w:t>
      </w:r>
    </w:p>
    <w:p>
      <w:pPr>
        <w:pStyle w:val="Heading2"/>
      </w:pPr>
      <w:r>
        <w:t>Erwägungen</w:t>
      </w:r>
    </w:p>
    <w:p>
      <w:r>
        <w:rPr>
          <w:b/>
        </w:rPr>
        <w:t>E. 28</w:t>
      </w:r>
    </w:p>
    <w:p>
      <w:r>
        <w:t>février 2001, FF 2001 II 2123). 4. a) En l'espèce, l'intimé soutient que le recourant dispose d'une formation et d'une expérience professionnelle suffisantes pour lui permettre de retrouver un emploi. Il ressort en effet du dossier que le recourant, titulaire d'un certificat fédéral de capacité comme mécanicien- électricien, possède une solide expérience de plus de 37 ans dans ce domaine. Il a en outre occupé des postes à responsabilité, tels que chef de fabrication, chef d'atelier, responsable de production et responsable d'exploitation. Il convient toutefois de constater que l'âge du recourant, aujourd'hui 58 ans, peut représenter un frein à la reprise d'un emploi, dont l'importance ne saurait être minimisée. En effet, bien qu'au bénéfice de nombreuses années d'expérience professionnelle, il risque de devoir s'incliner face à des candidats plus jeunes, dont la formation serait plus en adéquation avec les techniques actuelles, que la sienne. Il allègue à cet égard que les entreprises n'ont ni le temps ni l'argent à consacrer à la formation de cadre de son âge et préfèrent engager du personnel plus jeune et déjà formé. Ainsi, le projet du recourant vise à acquérir des connaissances dans un système de gestion informatisé, dans la mesure où les entreprises</w:t>
      </w:r>
    </w:p>
    <w:p>
      <w:r>
        <w:t>- 12 - de production mécanique modernes ont recours à un tel système. Il précise que la connaissance de ce dernier est requise dans la moitié, voire les trois-quarts des offres d'emploi correspondant à son profil. Partant, suivre le cours de base de superviseur sur la GPAO auprès de [...] Sàrl lui permettrait d'élargir ses possibilités de recherche et améliorait ses chances de retrouver rapidement un emploi. Le cours litigieux s'inscrit ainsi dans une perspective d'adaptation à la réalité du marché de l'emploi et de valorisation de l'activité exercée par le recourant, et non dans une optique de perfectionnement professionnel général. b) Dans le courrier du 14 avril 2011 adressé céans, la formatrice J.________ et le directeur d'AvantAge attestent de manière tout à fait convaincante que l'absence de formation GPAO constitue un handicap certain, en dépit du parcours professionnel richement doté du recourant. Ils relèvent que 50 à 70% des offres présentées par le recourant mentionnaient cette formation comme critère de sélection dans le profil des exigences requises. De surcroît, l'audition de J.________ au cours de l'audience d'instruction a confirmé que l'absence de formation GPAO dans le domaine professionnel du recourant était préjudiciable. Il a en outre été précisé que pour des postes à certain niveau de responsabilité, le manque de connaissances dans les moyens modernes était pénalisant. J.________ a en outre déclaré que les chances de placement du recourant seraient améliorées de manière importante s'il pouvait suivre ce cours. Il en découle que le cours litigieux serait de nature à améliorer la capacité du recourant à retrouver un travail. c) La Cour constate que la formation requise paraît constituer une mesure indispensable au recourant pour remédier à son chômage. Le recourant dispose certes d'une grande expérience professionnelle mais insuffisante au vu des offres d'emploi déposées céans, correspondant à son profil. En effet, outre le fait de constituer un atout supplémentaire,</w:t>
      </w:r>
    </w:p>
    <w:p>
      <w:r>
        <w:t>- 13 - cette formation est souvent une condition déterminante pour l'obtention d'un poste de travail. Il s'agit ainsi d'une mesure tendant à développer des aptitudes professionnelles existantes, et non d'une nouvelle formation de base. Dès lors que le cours litigieux doit notamment permettre au recourant de correspondre à plus de profils recherchés dans les offres d'emploi, ses chances d'obtenir un emploi augmente considérablement. Il n'apparaît guère contestable que la formation litigieuse est de nature à améliorer l'aptitude au placement de l'intéressé et que l'exigence selon laquelle la formation doit améliorer effectivement et de manière importante les chances de placement grâce à un perfectionnement accompli dans un but professionnel précis est remplie. A l'aune des éléments figurant au dossier, il appert qu'en l'absence de connaissances d'un outil de gestion intégré, les chances du recourant de retrouver un emploi sont quasiment nulles. On peut dès lors raisonnablement admettre que le placement de H.________ est rendu plus difficile pour des raisons inhérentes au marché du travail, de sorte que ses qualifications ont besoin d'être améliorées. Les conditions du droit à la formation requise sont à l'évidence réalisées. Le cours litigieux répond aux exigences fixées par la jurisprudence, de sorte qu'il appartient à l'assurance-chômage de le prendre en charge. Certes, suivre le cours litigieux ne donne pas au recourant la garantie formelle de conclure, à l'issue, un contrat de travail, mais cela accroîtrait très vraisemblablement ses chances de retrouver une place sur le marché du travail. d) Au vu de ce qui précède, force est de constater que, compte tenu de son expérience professionnelle, son âge et l'état du marché, les chances du recourant de retrouver un emploi, qui plus est à</w:t>
      </w:r>
    </w:p>
    <w:p>
      <w:r>
        <w:t>- 14 - brève échéance, seront vraisemblablement accrues après avoir suivi une formation GPAO. 5. a) Il en résulte que le recours, fondé, doit être admis et la décision sur opposition rendue le 4 juin 2010 par le Service de l'emploi réformée en ce sens que la décision prise le 15 février 2010 par l'Office régional de placement de la Riviera est annulée et la cause est renvoyée à cet office pour qu'il statue à nouveau dans le sens des considérants du présent arrêt. b) Vu le sort du recours, H.________, assisté d'un mandataire professionnel, a droit à des dépens. Il n'y a pas lieu de percevoir de frais judiciaires, la procédure étant gratuite (art. 61 let. a LPGA). Par ces motifs, le juge unique p r o n o n c e : I. Le recours est admis. II. La décision sur opposition du Service de l'emploi, Instance juridique chômage, du 4 juin 2010 est annulée, le dossier étant retourné à l'Office régional de placement de la Riviera pour nouvelle décision dans le sens des considérants. III. L'Etat de Vaud, par l'intermédiaire du Service de l'emploi, Instance juridique chômage, versera à H.________ une indemnité de 800 fr. (huit cents francs) à titre de dépens. IV. Il n'est pas perçu d'émolument judiciaire. La juge unique : La greffière :</w:t>
      </w:r>
    </w:p>
    <w:p>
      <w:r>
        <w:t>- 15 - Du L'arrêt qui précède est notifié à : - Me Corinne Monnard Séchaud (pour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