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ZQ10.014092 vom 14. Juli 2011</w:t>
      </w:r>
    </w:p>
    <w:p>
      <w:r>
        <w:t>VD Tribunal cantonal, 2011-07-14, FR</w:t>
      </w:r>
    </w:p>
    <w:p>
      <w:r>
        <w:rPr>
          <w:b/>
        </w:rPr>
        <w:t xml:space="preserve">Quelle: </w:t>
      </w:r>
      <w:r>
        <w:t>https://mcp.opencaselaw.ch/entscheid/vd_gerichte_ZQ10.014092</w:t>
      </w:r>
    </w:p>
    <w:p>
      <w:r>
        <w:t>FR: VD_GERICHTE ZQ10.014092 du 14 juillet 2011</w:t>
      </w:r>
    </w:p>
    <w:p>
      <w:r>
        <w:t>IT: VD_GERICHTE ZQ10.014092 del 14 luglio 2011</w:t>
      </w:r>
    </w:p>
    <w:p>
      <w:pPr>
        <w:pStyle w:val="Heading2"/>
      </w:pPr>
      <w:r>
        <w:t>Erwägungen</w:t>
      </w:r>
    </w:p>
    <w:p>
      <w:r>
        <w:rPr>
          <w:b/>
        </w:rPr>
        <w:t>E. 1</w:t>
      </w:r>
    </w:p>
    <w:p>
      <w:r>
        <w:t>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w:t>
      </w:r>
    </w:p>
    <w:p>
      <w:r>
        <w:rPr>
          <w:b/>
        </w:rPr>
        <w:t>E. 2</w:t>
      </w:r>
    </w:p>
    <w:p>
      <w:r>
        <w:t>En l'espèce, est litigieux le caractère fautif – au sens de l'assurance-chômage – de la perte d'emploi subie par la recourante. 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Autrement dit, deux conditions doivent être réalisées pour qu'une sanction puisse être valablement prononcée au sens de l'art. 44 al.</w:t>
      </w:r>
    </w:p>
    <w:p>
      <w:r>
        <w:t>- 6 - 1 let. a OACI : il faut, d'une part, qu'existe un comportement précis du travailleur, et, d'autre part, que ce comportement ait donné à l'employeur un motif de résiliation du contrat de travail (cf. Boris Rubin, Assurance- chômage, 2ème éd., Zurich/Bâle/Genève 2006, n° 5.8.11.4.1 p. 432).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(TFA C 207/05 du 31 octobre 2006 c. 4.2 et les références citées); même hors des cas de violation des obligations contractuelles, l'assuré encourt une sanction lorsqu'il aurait pu éviter un comportement donné en faisant preuve de la diligence voulue (cf. Rubin, op. cit., n° 5.8.11.4.2 p. 432 et les références citées). Ainsi, la suspension dans l'exercice du droit à l'indemnité ne suppose pas une résiliation immédiate des rapports de travail pour de justes motifs au sens de l'art. 337 CO (Code des obligations suisse du 30 mars 1911; RS 220); il suffit que le comportement général de l'assuré (y compris les particularités de son caractère au sens large du terme) ait donné lieu à son congédiement, indépendamment de la mise en cause de ses qualités professionnelles (cf. TFA 112 V 242 c. 1 et les références citées; cf. Circulaire du Secrétariat d'Etat à l'économie relative à l'indemnité de chômage, état au 1er janvier 2007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(cf. TF 8C_660/2009 du 18 mars 2010 c. 3 et références citées; cf. IC 2007 D20), tel un avertissement écrit de l'employeur. A cet égard, le fait qu'un employé renonce à contester de manière formelle la teneur de procès-verbaux ou de correspondances mettant en cause la qualité de son travail ne suffit pas pour conclure à un aveu de culpabilité de sa part; encore faut-il que les</w:t>
      </w:r>
    </w:p>
    <w:p>
      <w:r>
        <w:t>- 7 - actes ou les omissions qui lui sont reprochés puissent être qualifiés de fautifs. Il convient ainsi de s'assurer que les reproches formulés par l'employeur tiennent à un manque de volonté ou d'intérêt, à la volonté délibérée d'enfreindre certaines directives ou à un comportement inadéquat que l'intéressé était à même d'éviter, respectivement de corriger (cf. Tribunal administratif du canton de Vaud [TA], arrêt PS.2006.0269 du 12 septembre 2007 c. 2 et références citées). En d'autres termes, il n'y a chômage fautif que si la résiliation est consécutive à un dol ou à un dol éventuel de la part de l'assuré. Il y a dol lorsque l'intéressé adopte intentionnellement un comportement en vue d'être licencié; il y a dol éventuel lorsqu'il sait que son comportement peut avoir pour conséquence son licenciement, et qu'il accepte de courir ce risque (IC 2007, D18). c) En l’occurrence, la recourante ne conteste pas les reproches de son employeur s'agissant de ses arrivées tardives. Elle explique en revanche avoir été mobbée et dit qu’il faut savoir prendre en considération les réalités de la vie quotidienne. Elle se défend également d’avoir voulu obtenir indûment des indemnités de chômage. La recourante, qui admet elle-même être arrivée en retard et avoir été avertie à de multiples reprises pour ses arrivées tardives, a pris le risque de se faire licencier en renouvelant ce comportement à plusieurs reprises. Elle ne pouvait en effet ignorer avoir violé ses obligations contractuelles vis-à-vis de son employeur qui plaçait une grande importance dans la ponctualité de ses employés. Il sied de considérer que le fait de ne pas modifier son comportement malgré une mise en garde formelle de l'employeur exhortant son employée à mettre un terme à un comportement inadéquat constitue un comportement fautif au sens de l'assurance-chômage. Il ressort des faits ci-dessus que la rupture des liens de confiance est principalement due au comportement de la recourante, qui est à l'origine de son licenciement. Dès lors, la suspension du droit à des indemnités journalières de chômage est justifiée.</w:t>
      </w:r>
    </w:p>
    <w:p>
      <w:r>
        <w:t>- 8 -</w:t>
      </w:r>
    </w:p>
    <w:p>
      <w:r>
        <w:rPr>
          <w:b/>
        </w:rPr>
        <w:t>E. 4</w:t>
      </w:r>
    </w:p>
    <w:p>
      <w:r>
        <w:t>a) La durée de la suspension est proportionnelle à la faute et ne peut excéder en l’occurrence soixante jours (art. 30 al. 3 LACI). L’autorité dispose à cet égard d’un large pouvoir d’appréciation, et le juge n’intervient qu’en cas d’excès ou d’abus de ce pouvoir (ATF 133 V 593 c. 6; 123 V 150 c. 3b). Aux termes de l’art. 45 al. 2 OACI, la durée de la suspension dans l’exercice du droit à l’indemnité est de un à quinze jours en cas de faute légère (let. a); de seize à trente jours en cas de faute de gravité moyenne (let. b) et de trente-et-un à soixante jours en cas de faute grave (let. c). b) Dans le cas présent, la recourante a persisté, en dépit d'avertissements, dans son comportement inadéquat, s’agissant d’arrivées tardives. Il s’agit là d'une faute moyennement grave, qui est directement à l’origine du licenciement et du chômage de l'intéressée. Compte tenu de l’ensemble de ces circonstances, une suspension du droit à l’indemnité pendant 16 jours ne relève pas d’un excès ou d’un abus du pouvoir d’appréciation laissé à la Caisse.</w:t>
      </w:r>
    </w:p>
    <w:p>
      <w:r>
        <w:rPr>
          <w:b/>
        </w:rPr>
        <w:t>E. 5</w:t>
      </w:r>
    </w:p>
    <w:p>
      <w:r>
        <w:t>Le recours doit ainsi être rejeté et la décision attaquée confirmée. Il ne se justifie pas de percevoir d'émolument judiciaire, la procédure étant gratuite (cf. art. 61 let. a LPGA), ni d'allouer d'indemnité à titre de dépens. Par ces motifs, le juge unique p r o n o n c e : I. Le recours est rejeté. II. La décision rendue le 14 janvier 2010 par la Caisse cantonale de chômage est confirmée.</w:t>
      </w:r>
    </w:p>
    <w:p>
      <w:r>
        <w:t>- 9 - III. Il est statué sans frais, ni dépens. Le juge unique : Le greffier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