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ZQ08.034537 vom 12. Mai 2009</w:t>
      </w:r>
    </w:p>
    <w:p>
      <w:r>
        <w:t>VD Tribunal cantonal, 2009-05-12, FR</w:t>
      </w:r>
    </w:p>
    <w:p>
      <w:r>
        <w:rPr>
          <w:b/>
        </w:rPr>
        <w:t xml:space="preserve">Quelle: </w:t>
      </w:r>
      <w:r>
        <w:t>https://mcp.opencaselaw.ch/entscheid/vd_gerichte_ZQ08.034537</w:t>
      </w:r>
    </w:p>
    <w:p>
      <w:r>
        <w:t>FR: VD_GERICHTE ZQ08.034537 du 12 mai 2009</w:t>
      </w:r>
    </w:p>
    <w:p>
      <w:r>
        <w:t>IT: VD_GERICHTE ZQ08.034537 del 12 maggio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 c) La valeur litigieuse étant inférieure à 30'000 fr., la présente cause relève de la compétence d'un membre de la Cour des assurances sociales, statuant comme juge unique (art. 94 al. 1 let. a LPA-VD).</w:t>
      </w:r>
    </w:p>
    <w:p>
      <w:r>
        <w:rPr>
          <w:b/>
        </w:rPr>
        <w:t>E. 2</w:t>
      </w:r>
    </w:p>
    <w:p>
      <w:r>
        <w:t>a) Aux termes de l'art. 17 al. 1 LACI (loi fédérale du 25 juin 1982 sur l'assurance-chômage obligatoire et l'indemnité en cas d'insolvabilité,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LACI, l'assuré est tenu d'accepter tout travail convenable qui lui est proposé. Il a l'obligation, lorsque l'autorité compétente le lui enjoint, de participer notamment aux mesures relatives au marché du travail propres à améliorer son aptitude au placement (let. a). En vertu de l'art. 59 al. 2 LACI, les mesures relatives au marché du travail visent à favoriser l'intégration professionnelle des assurés dont le placement est difficile pour des raisons inhérentes au marché de l'emploi.</w:t>
      </w:r>
    </w:p>
    <w:p>
      <w:r>
        <w:t>- 5 -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formation professionnelle (let. d). En font notamment partie les mesures de formation prévues à l'art. 60 al. 1 LACI, soit les cours individuels ou collectifs de reconversion, de perfectionnement ou d'intégration, la participation à des entreprises d'entraînement et les stages de formation. Selon l'art. 83 OACI (ordonnance sur l’assurance-chômage, RS 837.02), lorsque l'autorité cantonale enjoint à un assuré de suivre un cours, elle est tenue de prendre également en considération de manière appropriée, outre la situation du marché de l'emploi, les aptitudes et les inclinations de l'assuré. Avec l'accord de celui-ci, elle peut, au besoin, charger l'orientation professionnelle publique de clarifier le cas. b)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proportionnelle à la gravité de la faute de l'assuré et ne peut excéder 60 jours par motif de suspension (art. 30 al. 3 LACI). Aux termes de l'art. 45 al. 2 OACI, elle est de 1 à 15 jours en cas de faute légère, de 16 à 30 jours en cas de faute de gravité moyenne et de 31 à 60 jours en cas de faute grave. Il y a faute grave lorsque l'assuré abandonne un emploi réputé convenable sans être assuré d'obtenir un nouvel emploi ou lorsqu'il refuse un emploi réputé convenable sans motif valable (art. 45 al. 3 OACI). En effet, selon la jurisprudence, lorsqu'un assuré peut se prévaloir d'un motif valable, il n'y a pas</w:t>
      </w:r>
    </w:p>
    <w:p>
      <w:r>
        <w:t>- 6 -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w:t>
      </w:r>
    </w:p>
    <w:p>
      <w:r>
        <w:rPr>
          <w:b/>
        </w:rPr>
        <w:t>E. 3</w:t>
      </w:r>
    </w:p>
    <w:p>
      <w:r>
        <w:t>a) Dans le cas d’espèce, il n’est pas contesté que le recourant a omis de se présenter au cours qui lui avait été assigné. Est en revanche litigieuse la question de savoir si, comme le soutient l’intéressé, il pouvait de bonne foi considérer que sa présence n’était pas indispensable, compte tenu du fait qu’il avait annoncé à son conseiller ORP avoir trouvé un nouvel emploi. b) Dans le domaine particulier des assurances sociales, le juge fonde généralement sa décision sur les faits qui, faut d’être établis de manière irréfutable, apparaissent comme les plus vraisemblables, c’est-à- dire qui présentent un degré de vraisemblance prépondérante. Il ne suffit donc pas qu’un fait puisse être considéré uniquement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TF 8C_929/2008 du 5 mai 2009, consid. 3.2).</w:t>
      </w:r>
    </w:p>
    <w:p>
      <w:r>
        <w:t>- 7 - c) A teneur de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 il doit leur permettre d'accomplir les démarches qui s'imposent à eux (Kieser, ATSG- Kommentar, 2ème éd., Zurich/Bâle/Genève 2009, n. 11-14 ad art. 27, pp. 400s.).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Le but de cette disposition est double : préserver l'existence matérielle d'individus après la survenance d'un risque assuré, d'une part, et limiter le phénomène de l'exclusion dont les composantes tiennent à la fois à l'ignorance par l'assuré de ses droits et à la complexité croissante des formalités administratives, d'autre part (Locher, Grundriss des Sozialversicherungsrechts, 3ème éd., Berne 2003, p. 429). Ainsi,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 SZS 2001 pp. 530-531 ; TA PS.2006.0124 du 12 octobre 2006, consid. 2a/aa).</w:t>
      </w:r>
    </w:p>
    <w:p>
      <w:r>
        <w:t>- 8 - En vertu de ce principe, l'administration est, malgré un texte légal contraire, liée par les renseignements inexacts qu'elle fournit à l'administré, et a fortiori par les assurances qu'elle lui donne :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est au courant, peut de bonne foi conclure de son mutisme qu'elle considère la situation comme régulière (Moor, Droit administratif, 2ème éd., Berne 1994, vol. I, ch. 5.3.2.1 et 5.3.2.2, pp. 430ss ; cf. également ATF 131 II 627 consid. 6.1 ; TF 9C_768/2007 du 2 juillet 2008, consid. 2.1 et les références). L'art. 27 al. 2 LPGA prévoit quant à lui un droit individuel à être conseillé sur ses droits et devoirs. Constituant le pendant de l'obligation générale de renseigner instituée par l'al. 1 de cette même disposition, il doit permettre à l'assuré d'obtenir des réponses précises aux questions concernant sa situation particulière. Outre les cas où le devoir de conseil est expressément prévu par la loi (ainsi les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n. 19ss ad art. 27, pp. 402ss ; TA PS.2006.0124 précité, consid. 2a/ab). De l'avis de plusieurs auteurs, le but du conseil visé à l'art. 27 al. 2 LPGA est ainsi de permettre à la personne</w:t>
      </w:r>
    </w:p>
    <w:p>
      <w:r>
        <w:t>- 9 - intéressée d'adopter un comportement dont les effets juridiques cadrent avec les exigences posées par le législateur pour que se réalise le droit à la prestation (TF C 15/06 du 20 février 2007, consid. 4.1 et les références). d) En l’espèce, il ressort du dossier que le recourant a annoncé sans tarder à son répondant auprès de l’ORP qu’il avait trouvé un nouvel emploi à plein temps dès le 1er octobre 2008. Plus encore, il s’est inquiété de savoir s’il devait annoncer ce fait à la caisse chômage. Le conseiller ORP lui a alors répondu que la procédure à suivre lui serait précisée lors de l’entretien individuel d’ores et déjà agendé au 2 septembre 2008. Certes, comme le relève l’autorité intimée, l’intéressé ne s’est pas inquiété de savoir si sa participation au cours litigieux demeurait indispensable et l’on ne saurait, stricto sensu, déduire de la réponse du conseiller ORP que cette participation était devenue superflue. Il n’en demeure pas moins que, à lire le courriel adressé le 21 août 2008 au recourant, ce dernier pouvait de bonne foi considérer qu’il n’avait aucune démarche à effectuer avant l’entretien précité. Compte tenu de l’ensemble des circonstances, de la nature du cours, de la proximité de la prise d’emploi de l’assuré et de ses antécédents, il y a dès lors lieu d’admettre qu’aucune faute ne peut être reprochée au recourant. C’est au demeurant le lieu de relever que l’autorité intimée a, implicitement, considéré que seule une faute légère pouvait être retenue, alors que l’ORP avait admis l’existence d’une faute moyenne, en suspendant l’assuré dans son droit pour une durée de 16 jours.</w:t>
      </w:r>
    </w:p>
    <w:p>
      <w:r>
        <w:rPr>
          <w:b/>
        </w:rPr>
        <w:t>E. 4</w:t>
      </w:r>
    </w:p>
    <w:p>
      <w:r>
        <w:t>Il s'ensuit que le recours doit être admis, ce qui entraîne l’annulation de la décision entreprise. Le présent jugement est rendu sans frais, ni allocation de dépens (art. 61 let. a et g LPGA).</w:t>
      </w:r>
    </w:p>
    <w:p>
      <w:r>
        <w:t>- 10 - Par ces motifs, le juge unique p r o n o n c e : I. Le recours est admis. II. La décision attaquée est annulée. III. Le présent arrêt est rendu sans frais ni allocation de dépens. Le juge unique : La greffière : Du L'arrêt qui précède est notifié à : - N.________ - Service de l'emploi - Secrétariat d’Etat à l’économie (SECO) et communiqué à : - Office régional de placement de l’Ouest lausannois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