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ZQ08.024532 vom 15. Juli 2009</w:t>
      </w:r>
    </w:p>
    <w:p>
      <w:r>
        <w:t>VD Tribunal cantonal, 2009-07-15, FR</w:t>
      </w:r>
    </w:p>
    <w:p>
      <w:r>
        <w:rPr>
          <w:b/>
        </w:rPr>
        <w:t xml:space="preserve">Quelle: </w:t>
      </w:r>
      <w:r>
        <w:t>https://mcp.opencaselaw.ch/entscheid/vd_gerichte_ZQ08.024532</w:t>
      </w:r>
    </w:p>
    <w:p>
      <w:r>
        <w:t>FR: VD_GERICHTE ZQ08.024532 du 15 juillet 2009</w:t>
      </w:r>
    </w:p>
    <w:p>
      <w:r>
        <w:t>IT: VD_GERICHTE ZQ08.024532 del 15 luglio 2009</w:t>
      </w:r>
    </w:p>
    <w:p>
      <w:pPr>
        <w:pStyle w:val="Heading2"/>
      </w:pPr>
      <w:r>
        <w:t>Erwägungen</w:t>
      </w:r>
    </w:p>
    <w:p>
      <w:r>
        <w:rPr>
          <w:b/>
        </w:rPr>
        <w:t>E. 1</w:t>
      </w:r>
    </w:p>
    <w:p>
      <w:r>
        <w:t>a) La loi cantonale du 28 octobre 2008 sur la procédure administrative (LPA-VD ; RSV 173.36) entrée en vigueur le 1er janvier 2009 est immédiatement applicable à la présente cause (art. 117 al. 1 LPA-VD). Ainsi, les causes pendantes devant les autorités administratives et de justice administratives à l’entrée en vigueur de dite loi sont traitées selon cette dernière. La Cour des assurances sociales du Tribunal cantonal, qui succède au Tribunal des assurances, est compétente pour statuer (art. 93 al. 1 let. a LPA-VD). b) Interjeté le 18 août 2008, dans le délai légal de trente jours dès la notification de la décision entreprise du 17 juillet précédent, le recours est déposé en temps utile (art. 60 al. 1 LPGA [loi fédérale sur la</w:t>
      </w:r>
    </w:p>
    <w:p>
      <w:r>
        <w:t>- 5 - partie générale du droit des assurances sociales; RS 830.1]), compte tenu des féries estivales (art. 38 al. 4 let. b LPGA). Il est en outre recevable en la forme. c) La valeur litigieuse étant inférieure à 30'000 fr., celle-ci se limitant au droit de la recourante aux indemnités de chômage du 1er février au 5 juin 2008 inclus, la présente cause relève de la compétence d'un membre de la Cour des assurances sociales, statuant comme juge unique (art. 94 al. 1 let. a LPA-VD).</w:t>
      </w:r>
    </w:p>
    <w:p>
      <w:r>
        <w:rPr>
          <w:b/>
        </w:rPr>
        <w:t>E. 2</w:t>
      </w:r>
    </w:p>
    <w:p>
      <w:r>
        <w:t>a) L'art. 8 al. 1 LACI énumère les conditions cumulatives qui doivent être réalisées pour ouvrir le droit de l'assuré à l'indemnité de chômage. La loi apporte certaines exceptions à cette disposition; ainsi, l'art. 31 al. 3 let. c LACI prévoit que n'ont notamment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(art. 31 al. 3 let. a LACI).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123 V 238, consid. 7b ; TF C 194/03 du 14 avril 2005, C 65/04 du 29 juin 2004 ; SVR 2001 ALV n° 14 pp. 41-42 ; DTA 2003 n° 22 p. 241, 2000 n° 14 p. 70 consid. 2). b) De jurisprudence constante, un travailleur qui jouit d'une situation professionnelle comparable à celle d'un employeur n'a pas droit à l'indemnité de chômage lorsque, bien que licencié formellement, il continue de fixer les décisions de son ancien employeur ou à influencer</w:t>
      </w:r>
    </w:p>
    <w:p>
      <w:r>
        <w:t>- 6 - celles-ci de manière déterminante. Dans le cas contraire, on détournerait en effet par le biais d'une disposition sur l'indemnité de chômage la réglementation en matière d'indemnité en cas de réduction de l'horaire de travail, en particulier l'art. 31 al. 3 let. c LACI précité (ATF 123 V 234; TFA, arrêt C 45/04 du 27 janvier 2005, consid. 3.1; TF, arrêt 8C 515/2007 du 8 avril 2008, consid. 2.2).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2ème éd., Zurich/Bâle/Genève 2006, ch. 3.3.3.3.1, p. 121).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le Tribunal fédéral, ce n'est pas seulement l'abus avéré que la loi et la jurisprudence entendent sanctionner, mais déjà le risque d'abus que représente le versement d'indemnités à des personnes pouvant conserver une influence sur la perte de travail qu'elles subissent (DTA 2004 n° 20 p. 195 consid. 4, 2002 p. 183 et 2003 p. 240, en particulier p. 242 consid. 4; TF C 50/04 du 26 juillet 2005 ; Tribunal administratif, arrêts PS.2006.0017 du 18 avril 2006, PS.2003.0127 du 26 février 2004 et les références citées).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(ATF C 157/06 du 22 janvier 2006, C 65/04 du 29 juin 2004 et C 123/99 du 26 juillet 1999; DTA 2005 n° 9 p. 130, et les références citées; Tribunal administratif, arrêt PS.2006.0027 du 16 mai 2006,</w:t>
      </w:r>
    </w:p>
    <w:p>
      <w:r>
        <w:t>- 7 - confirmé par ATF C 157/06 précité, et PS.2003.0127 du 26 février 2004, confirmé par ATF C 50/04 du 26 juillet 2005).</w:t>
      </w:r>
    </w:p>
    <w:p>
      <w:r>
        <w:rPr>
          <w:b/>
        </w:rPr>
        <w:t>E. 3</w:t>
      </w:r>
    </w:p>
    <w:p>
      <w:r>
        <w:t>En l'espèce, dans un premier moyen, la recourante fait valoir que son époux ne disposant pas de la signature individuelle, il ne pouvait être considéré comme bénéficiant d’un pouvoir décisionnel suffisant. a) Selon l’art. 69 CC (Code civil suisse du 10 décembre 1907 ; RS 210), la direction d’une association a le droit et le devoir de gérer les affaires de l’association et de la représenter en conformité des statuts. Elle assume ainsi la gestion des affaires de l’association, dans la mesure où un autre organe, comme l’assemblée générale, n’en a pas la compétence. A ce titre, la direction de l’association occupe une position comparable à celle du conseil d’administration d’une société anonyme (art. 716 à 716b CO [loi fédérale du 30 mars 1911 complétant le code civil suisse ; Livre 5ème : droit des obligations ; RS 220]), en ce sens que les membres de la direction disposent ex lege du pouvoir de fixer les décisions que l’association est amenée à prendre comme employeur ou, à tout le moins, de les influencer considérablement au sens de l’art. 31 al. 3 let. c LACI. Aussi, selon le Tribunal fédéral, leur droit à l’indemnité et, partant, celui de leurs conjoints, peut-il être exclu sans qu’il soit nécessaire de déterminer plus concrètement les responsabilités qu’ils exercent au sein de l’association (ATF 8C_515/2007 du 8 avril 2008, et les références citées). b) En l’occurrence, il est constant que l’époux de la recourante faisait partie de la direction de l’association [...], en assumant même la présidence. Le grief d’absence d’influence déterminante doit ainsi être écarté.</w:t>
      </w:r>
    </w:p>
    <w:p>
      <w:r>
        <w:rPr>
          <w:b/>
        </w:rPr>
        <w:t>E. 4</w:t>
      </w:r>
    </w:p>
    <w:p>
      <w:r>
        <w:t>En second lieu, la recourante fait valoir qu’aucun risque de fraude à la loi n’existait, dans la mesure où la dissolution de l’association est intervenue peu après son licenciement, et que le processus de dissolution était déjà entamé auparavant.</w:t>
      </w:r>
    </w:p>
    <w:p>
      <w:r>
        <w:t>- 8 - a) Selon la jurisprudence (ATF 123 V 238 consid. 7b/bb; DTA 2003 p. 241 consid. 2 et les références), le droit à l'indemnité de chômage ne peut en principe pas être nié lorsque le salarié – ou son conjoint -, qui est placé dans une position assimilable à celle de l'employeur, quitte définitivement l'entreprise en raison de la fermeture de celle-ci ou rompt définitivement tout lien avec une entreprise qui continue d'exister car en pareille circonstance, on ne saurait parler d'un comportement visant à éluder la loi (en particulier l'art. 31 al. 3 let. c LACI). Toutefois, la jurisprudence est stricte; elle exclut de considérer qu'un assuré a définitivement quitté son ancienne entreprise en raison de la fermeture de celle-ci tant qu'elle n'est pas entrée en liquidation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b) Dès lors, c’est à juste titre que l’autorité intimée a considéré que, jusqu’à la date effective de la dissolution de l’association, le droit aux indemnités de la recourante devait être nié. En effet si, dès la fin de l’année 2007, principalement en raison de la décision du SPAS de ne plus confier de mandats à l’association [...], le sort de cette dernière semblait compromis, il ressort du procès-verbal de l’assemblée générale du 5 juin 2008 que des recherches d’autres partenaires ont été menées jusqu’à cette date, ou du moins jusqu’à l’assemblée générale ordinaire du</w:t>
      </w:r>
    </w:p>
    <w:p>
      <w:r>
        <w:rPr>
          <w:b/>
        </w:rPr>
        <w:t>E. 8</w:t>
      </w:r>
    </w:p>
    <w:p>
      <w:r>
        <w:t>mai 2008. La poursuite de l’activité de l’association était donc sinon assurée, du moins espérée jusqu’à la date de la dissolution et, partant, une possibilité de réengagement de la recourante ne pouvait être exclue avant le 5 juin 2008. 5. En considération de ce qui précède, le recours se révèle mal fondé et doit être rejeté, ce qui entraîne le maintien de la décision sur opposition de la caisse du 17 juillet 2008.</w:t>
      </w:r>
    </w:p>
    <w:p>
      <w:r>
        <w:t>- 9 - Il n'y a pas lieu de percevoir de frais de justice ni d'allouer de dépens (art. 61 let. a et g LPGA ; art. 55 al. 1 LPA-VD). Par ces motifs, le juge unique p r o n o n c e : I. Le recours est rejeté. II. La décision sur opposition rendue le 17 juillet 2008 par la Caisse cantonale de chômage est confirmée. III. Il n’est pas perçu de frais judiciaires ni alloué de dépens. Le juge unique : La greffière : Du L'arrêt qui précède, dont la rédaction a été approuvée à huis clos, est notifié à : - Me Charles Munoz, avocat, à Yverdon-les-Bains (pour A.H.________) ; - Caisse cantonale de chômage, Division technique et juridique, à Lausanne ; - Secrétariat d’Etat à l’économie, à Berne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