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ZQ08.023172 vom 9. Februar 2010</w:t>
      </w:r>
    </w:p>
    <w:p>
      <w:r>
        <w:t>VD Tribunal cantonal, 2010-02-09, FR</w:t>
      </w:r>
    </w:p>
    <w:p>
      <w:r>
        <w:rPr>
          <w:b/>
        </w:rPr>
        <w:t xml:space="preserve">Quelle: </w:t>
      </w:r>
      <w:r>
        <w:t>https://mcp.opencaselaw.ch/entscheid/vd_gerichte_ZQ08.023172</w:t>
      </w:r>
    </w:p>
    <w:p>
      <w:r>
        <w:t>FR: VD_GERICHTE ZQ08.023172 du 9 février 2010</w:t>
      </w:r>
    </w:p>
    <w:p>
      <w:r>
        <w:t>IT: VD_GERICHTE ZQ08.023172 del 9 febbraio 2010</w:t>
      </w:r>
    </w:p>
    <w:p>
      <w:pPr>
        <w:pStyle w:val="Heading2"/>
      </w:pPr>
      <w:r>
        <w:t>Erwägungen</w:t>
      </w:r>
    </w:p>
    <w:p>
      <w:r>
        <w:rPr>
          <w:b/>
        </w:rPr>
        <w:t>E. 1</w:t>
      </w:r>
    </w:p>
    <w:p>
      <w:r>
        <w:t>Les dispositions de la loi fédérale du 6 octobre 2000 sur la partie générale du droit des assurances sociales (LPGA, RS 830.1) s'appliquent en matière d'assurance-chômage (art. 1 LACI [loi fédérale du 25 juin 1982 sur l'assurance-chômage obligatoire et l'indemnité en cas d'insolvabilité, RS 837.0]). Les décisions sur opposition sont sujettes à</w:t>
      </w:r>
    </w:p>
    <w:p>
      <w:r>
        <w:t>- 4 - recours devant le tribunal des assurances compétent (art. 58 LPGA). Le recours doit être déposé dans les trente jours suivant la notification de la décision sujette à recours (art. 60 al. 1 LPGA). La loi cantonale vaudoise du 28 octobre 2008 sur la procédure administrative (LPA-VD, RSV 173.36), entrée en vigueur le 1er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Compte tenu de la valeur litigieuse inférieure à 30'000 fr., la présente cause ressortit à la compétence du magistrat instructeur statuant en tant que juge unique (art. 94 al. 1 let. a LPA-VD).</w:t>
      </w:r>
    </w:p>
    <w:p>
      <w:r>
        <w:rPr>
          <w:b/>
        </w:rPr>
        <w:t>E. 2</w:t>
      </w:r>
    </w:p>
    <w:p>
      <w:r>
        <w:t>En l'espèce, le recours a été interjeté en temps utile (art. 60 al. 1 LPGA), compte tenu de la suspension du délai durant les féries estivales (art. 38 al. 4 let. b LPGA), devant la juridiction compétente. Il est donc recevable.</w:t>
      </w:r>
    </w:p>
    <w:p>
      <w:r>
        <w:rPr>
          <w:b/>
        </w:rPr>
        <w:t>E. 3</w:t>
      </w:r>
    </w:p>
    <w:p>
      <w:r>
        <w:t>Est seule litigieuse la suspension de 31 jours du droit à l'indemnité pour chômage fautif.</w:t>
      </w:r>
    </w:p>
    <w:p>
      <w:r>
        <w:rPr>
          <w:b/>
        </w:rPr>
        <w:t>E. 4</w:t>
      </w:r>
    </w:p>
    <w:p>
      <w:r>
        <w:t>Selon l’art. 30 al. 1 let. a LACI, le droit de l’assuré à l’indemnité est suspendu lorsqu’il est établi que celui-ci est sans travail par sa propre faute. Est notamment réputé sans travail par sa propre faute celui qui a résilié lui-même le contrat de travail, sans avoir été préalablement assuré d’obtenir un autre emploi, sauf s’il ne pouvait être exigé de lui qu’il conservât son ancien emploi (art. 44 al. 1 let. b OACI [ordonnance fédérale du 31 août 1983 sur l'assurance-chômage obligatoire et l'indemnité en cas d'insolvabilité, RS 837.02]). Pour qu’on puisse admettre qu’une personne s’est assurée d’obtenir un autre emploi avant la résiliation de son contrat de travail, il faut qu’elle-même et le nouvel employeur aient, de façon expresse ou par actes concluants, manifesté réciproquement et d’une</w:t>
      </w:r>
    </w:p>
    <w:p>
      <w:r>
        <w:t>- 5 - manière concordante la volonté de conclure un contrat au sens des art. 319 ss CO (code des obligations du 30 mars 1911, RS 220) (TFA C 185/04 du 12 avril 2005 et les références). On précisera que lorsque l’employeur place indubitablement un travailleur devant l’alternative de résilier lui-même son contrat de travail ou d’être congédié, la résiliation par le travailleur équivaut à une résiliation par l’employeur (DTA 1977, n° 30 p. 149; cf. aussi Boris Rubin, Assurance-chômage, Droit fédéral, Survol des mesures cantonales, Procédure, 2e éd., Zurich/Bâle/Genève 2006, p. 444). Il y a également lieu de préciser que le fait de cesser l'exercice d'une activité procurant une rémunération prise en compte à titre de gain intermédiaire (ceci au sens de l’art. 24 LACI) justifie également une sanction pour chômage fautif, sur la base de l’art 30 al. 1 let. a LACI.</w:t>
      </w:r>
    </w:p>
    <w:p>
      <w:r>
        <w:rPr>
          <w:b/>
        </w:rPr>
        <w:t>E. 5</w:t>
      </w:r>
    </w:p>
    <w:p>
      <w:r>
        <w:t>a) La durée de la suspension est proportionnelle à la gravité de la faute et ne peut excéder 60 jours par motif de suspension (art. 30 al. 3 LACI). Cette durée est de 1 à 15 jours en cas de faute légère, de 16 à 30 jours en cas de faute de gravité moyenne et de 31 à 60 jours en cas de faute grave (art. 45 al. 2 OACI, en relation avec l’art. 30 al. 3bis LACI). b) Une faute au sens de la législation sur l'assurance-chômage ne suppose pas nécessairement, comme en droit pénal ou civil, qu'on puisse imputer à l’assuré un comportement répréhensible; elle est réalisée sitôt que la survenance du chômage ne relève pas de facteurs objectifs, mais réside dans un comportement que l’assuré pouvait éviter au vu des circonstances et des relations personnelles en cause (DTA 1982 n° 4 p. 37). Conformément au principe de l'obligation de diminuer le dommage, l'assuré doit s'efforcer de faire tout ce qui est en son pouvoir pour réduire le dommage ou éviter la réalisation du risque assuré (DTA 1981 n° 29 p. 126). Le critère de la culpabilité retenu par la jurisprudence dans ce domaine spécifique est ainsi celui du comportement raisonnablement exigible de l’assuré. Il convient dès lors de se demander dans chaque cas d’espèce si, au vu de l’ensemble des circonstances, il pouvait être</w:t>
      </w:r>
    </w:p>
    <w:p>
      <w:r>
        <w:t>- 6 - raisonnablement exigé du travailleur assuré qu’il conservât sa place de travail, ou si, selon les règles de la bonne foi, la continuation des rapports de travail ne pouvait effectivement plus être exigée. Ainsi, la faute imputée à l’assuré pour abandon d’un emploi convenable consiste-t-elle moins à ne pas s’assurer préalablement d’obtenir un autre emploi qu’à provoquer l’intervention de l’assurance-chômage. En d’autres termes, le seul fait que l’assurance soit appelée à intervenir à la suite d’un abandon d’emploi autorise à poser la question de savoir si l’on pouvait raisonnablement exiger de l’assuré qu’il ne cause pas directement le dommage résultant de son chômage, mais qu’il le prévienne en s’assurant d’un travail qui, à l’instar de celui auquel il a renoncé, permet d’éviter le recours à l’assurance-chômage (Tribunal administratif du canton de Vaud [TA], arrêts PS.2005.0111 du 7 septembre 2005, PS.2002.0009 du 28 février 2005, PS.2000.0096 du 26 mars 2001, et les références citées). c) Il y a en principe faute grave lorsque l’assuré abandonne un emploi réputé convenable sans être assuré d’obtenir un nouvel emploi ou lorsqu’il refuse un emploi réputé convenable sans motif valable (art. 45 al. 3 OACI). A cet égard, le Tribunal fédéral des assurances retient que conformément aux termes de l’art. 30 al. 3, 3e phrase, LACI,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mettant fin au chômage (ATF 123 V 150 consid. 1c, 122 V 43 consid. 3c/aa, 112 V 330 consid. 3c, DTA 1999 n° 32 p. 184). La durée effective du chômage et le dommage effectivement survenu ne sont pas pertinents, à la lumière de cette jurisprudence, pour déterminer la gravité de la faute et la durée de la suspension du droit à l’indemnité de chômage. Demeurent toutefois réservées des circonstances particulières faisant apparaître, dans le cas concret, la faute comme plus légère. Ainsi, on tient compte du fait qu’un assuré attende avant de s’annoncer au chômage et cherche du travail avec toute l’intensité requise, dès la</w:t>
      </w:r>
    </w:p>
    <w:p>
      <w:r>
        <w:t>- 7 - résiliation du contrat et jusqu’au moment de requérir les prestations du chômage. Par un tel comportement, l’assuré participe en effet à la diminution du dommage: la probabilité de trouver une nouvelle activité pendant une certaine période existe dans la même mesure que si l’assuré bénéficiait de prestations de l’assurance après la fin des rapports de travail et cherchait en même temps un nouveau poste; partant, le dommage que cause l’assuré par la résiliation des rapports de travail est vraisemblablement moins important lorsqu’il assume d’abord lui-même la perte de gain (ATF 130 V 125; TFA C 160/03 du 18 mai 2006, C 73/03 du 28 décembre 2005 consid. 3.3 et 3.4; voir aussi TFA C 128/04 du 20 septembre 2005, publié au SVR 2006 ALV n° 5 p. 15, qui confirme la possibilité de tenir compte de l’inscription reportée de l’assuré en tant que facteur atténuant). d) Constante, la jurisprudence n'admet que de façon restrictive les circonstances justifiant l'abandon d'un emploi (DTA 1989 n°</w:t>
      </w:r>
    </w:p>
    <w:p>
      <w:r>
        <w:rPr>
          <w:b/>
        </w:rPr>
        <w:t>E. 7</w:t>
      </w:r>
    </w:p>
    <w:p>
      <w:r>
        <w:t>Il résulte de ce qui précède que le recours, mal fondé, doit être rejeté. Il n'y a pas lieu de percevoir de frais judiciaires, la procédure étant gratuite (art. 61 let. a LPGA), ni d'allouer de dépens, le recourant, au demeurant non assisté, n'obtenant pas gain de cause (art. 61 let. g LPGA et 55 LPA-VD). Par ces motifs,</w:t>
      </w:r>
    </w:p>
    <w:p>
      <w:r>
        <w:t>- 9 - la juge unique p r o n o n c e : I. Le recours est rejeté. II. La décision sur opposition prise le 30 juillet 2008 par la Caisse de chômage Unia est confirmée. III. Il n'est pas perçu de frais judiciaires, ni alloué de dépens. La juge unique : Le greffier : Du L'arrêt qui précède est notifié à : - M. T.________, - Caisse de chômage Unia,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w:t>
      </w:r>
    </w:p>
    <w:p>
      <w:r>
        <w:t>- 10 -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