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ZQ08.022975 vom 17. August 2009</w:t>
      </w:r>
    </w:p>
    <w:p>
      <w:r>
        <w:t>VD Tribunal cantonal, 2009-08-17, FR</w:t>
      </w:r>
    </w:p>
    <w:p>
      <w:r>
        <w:rPr>
          <w:b/>
        </w:rPr>
        <w:t xml:space="preserve">Quelle: </w:t>
      </w:r>
      <w:r>
        <w:t>https://mcp.opencaselaw.ch/entscheid/vd_gerichte_ZQ08.022975</w:t>
      </w:r>
    </w:p>
    <w:p>
      <w:r>
        <w:t>FR: VD_GERICHTE ZQ08.022975 du 17 août 2009</w:t>
      </w:r>
    </w:p>
    <w:p>
      <w:r>
        <w:t>IT: VD_GERICHTE ZQ08.022975 del 17 agosto 2009</w:t>
      </w:r>
    </w:p>
    <w:p>
      <w:pPr>
        <w:pStyle w:val="Heading2"/>
      </w:pPr>
      <w:r>
        <w:t>Erwägungen</w:t>
      </w:r>
    </w:p>
    <w:p>
      <w:r>
        <w:rPr>
          <w:b/>
        </w:rPr>
        <w:t>E. 1</w:t>
      </w:r>
    </w:p>
    <w:p>
      <w:r>
        <w:t>a) Interjeté dans le respect du délai légal de 30 jours suivant la notification de la décision entreprise (art. 60 al. 1 LPGA [loi fédérale du 6 octobre 2000 sur la partie générale du droit des assurances sociales, RS 830.1]), le recours est recevable en la forme. b) A teneur de la disposition transitoire de l'art. 117 al. 1 LPA-VD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w:t>
      </w:r>
    </w:p>
    <w:p>
      <w:r>
        <w:t>- 4 - La Cour des assurances sociales du Tribunal cantonal, qui succède au Tribunal des assurances, est compétente pour statuer (art. 93 al. 1 litt. a LPA-VD). c) La valeur litigieuse étant inférieure à 30'000 fr., la présente cause relève de la compétence d'un membre de la Cour des assurances sociales, statuant comme juge unique (art. 94 al. 1 let. a LPA-VD).</w:t>
      </w:r>
    </w:p>
    <w:p>
      <w:r>
        <w:rPr>
          <w:b/>
        </w:rPr>
        <w:t>E. 2</w:t>
      </w:r>
    </w:p>
    <w:p>
      <w:r>
        <w:t>Est litigieux en l'espèce le caractère fautif, en termes d'assurance-chômage, de la perte d'emploi subie par la recourante, respectivement la quotité de la suspension de son droit aux indemnités prononcée par l'intimée.</w:t>
      </w:r>
    </w:p>
    <w:p>
      <w:r>
        <w:rPr>
          <w:b/>
        </w:rPr>
        <w:t>E. 3</w:t>
      </w:r>
    </w:p>
    <w:p>
      <w:r>
        <w:t>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[ordonnance fédérale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(ATF C 297/05 du 31 octobre 2006, consid. 4.2 et les références); même hors des cas de violation des obligations contractuelles, l'assuré encourt une sanction lorsqu'il aurait pu éviter un comportement donné en</w:t>
      </w:r>
    </w:p>
    <w:p>
      <w:r>
        <w:t>- 5 - faisant preuve de la diligence voulue (Rubin, Assurance-chômage, 2e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SECO relative à l'indemnité de chômage 2007 [ci-après: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(ATF C 190/06 du 20 décembre 2006, consid. 1 et les références; FF 1980 III 593;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D18). b) A teneur de l'art. 30 al. 3 in fine LACI, l'exécution de la suspension est caduque six mois après le début du délai de suspension; la suspension dans l'exercice du droit à l'indemnité prend effet à partir du premier jour qui suit la cessation du rapport de travail lorsque l'assuré est devenu chômeur par sa propre faute ou lorsqu'il ne s'est pas suffisamment</w:t>
      </w:r>
    </w:p>
    <w:p>
      <w:r>
        <w:t>- 6 - efforcé de trouver un travail convenable avant de tomber au chômage (art. 45 al. 1 let. a OACI). Lorsque l'administration prononce une suspension en raison du chômage dû à la propre faute de l'assuré, le début du délai de péremption de la suspension est ainsi fixé au premier jour suivant la cessation des rapports de travail, en vertu de la première hypothèse visée à l'art. 45 al. 1 let. a OACI (ATF 8C_642/2007 du 4 août 2008, consid. 4.2). c) En l'espèce, il est constant que la recourante a mis fin unilatéralement aux rapports de travail en cause, et ce sans s'être préalablement assurée d'obtenir un nouvel emploi. Il convient dès lors d'examiner s'il pouvait être exigé de l'assurée qu'elle conservât son ancien emploi, cas échant d'apprécier la gravité de sa faute, eu égard à l'ensemble des circonstances.</w:t>
      </w:r>
    </w:p>
    <w:p>
      <w:r>
        <w:rPr>
          <w:b/>
        </w:rPr>
        <w:t>E. 4</w:t>
      </w:r>
    </w:p>
    <w:p>
      <w:r>
        <w:t>a) L'art. 16 al. 2 LACI, dont il convient de s'inspirer s'agissant d'apprécier dans quelle mesure il pouvait être exigé de l'assuré qu'il conservât son ancien emploi (cf. ATF C 258/03 du 27 janvier 2004, consid. 6), pose le principe que n'est pas réputé convenable et, par conséquent, est exclu de l'obligation d'être accepté, notamment tout travail qui : - n'est pas conforme aux usages professionnels et locaux et, en particulier, ne satisfait pas aux conditions des conventions collectives ou des contrats-type de travail (litt. a); - ne tient pas raisonnablement compte des aptitudes de l'assuré ou de l'activité qu'il a précédemment exercée (litt. b); - ne convient pas à l'âge, à la situation personnelle ou à l'état de santé de l'assuré (litt. c); - exige du travailleur une disponibilité sur appel constante dépassant le cadre de l'occupation garantie (litt. g). Ainsi, selon la jurisprudence, la présence d'un enfant dont un assuré doit s'occuper relève de sa situation personnelle au sens de l'art.</w:t>
      </w:r>
    </w:p>
    <w:p>
      <w:r>
        <w:t>- 7 - 16 al. 2 let. c LACI (cf. ATF C 78/03 du 15 juillet 2003, consid. 3). Ainsi, un poste qui aurait obligé une assurée à faire garder son enfant de onze ans tous les soirs et durant la nuit, une semaine sur deux, a été considéré comme non convenable de ce point de vue (ATF C 60/05 du 18 avril 2006, consid. 5.2). Si l'assuré se prévaut de ce que l'emploi ne lui convenait pas en raison de son état de santé, il doit disposer d'un certificat médical dans ce sens, lequel doit apporter un minimum de précisions sur les activités qui seraient contre-indiquées et ne doit pas avoir été établi trop longtemps après la survenance de l'empêchement (Rubin, op. cit., ch. 5.8.7.4.5 p. 416 et les références). Selon l'art. 45 al. 3 OACI, il y a faute grave lorsque l'assuré abandonne un emploi réputé convenable sans être assuré d'obtenir un nouvel emploi ou lorsqu'il refuse un emploi réputé convenable sans motif valable. Dans un arrêt non publié du 15 février 1999 (C 226/98), La juridiction fédérale a considéré que, dans les cas de suspension pour le motif prévu à l'art. 44 let. b OACI, l'art. 45 al. 3 OACI ne constituait qu'un principe dont l'administration et le juge pouvaient s'écarter lorsque les circonstances particulières du cas d'espèce le justifiaient; dans ce sens, le pouvoir d'appréciation de l'une et de l'autre n'était pas limité à la durée minimum de suspension fixée pour les cas de faute grave. Cette jurisprudence a depuis lors toujours été confirmée (cf. notamment ATF C 188/98 du 12 mars 1999, RJJ 1999 54; ATF C 108/01 du 21 août 2001, consid. 1b; ATF C 160/03 du 18 mai 2006, consid. 2). Cela étant, il y a lieu d'admettre de façon restrictive les circonstances pouvant justifier l'abandon d'un emploi. Des désaccords sur le montant du salaire ou un rapport tendu avec des supérieurs ou des collègues de travail ne sont pas suffisants; dans ces circonstances, on doit au contraire attendre de l'assuré qu'il fasse l'effort de garder sa place jusqu'à ce qu'il ait trouvé une autre activité professionnelle. En revanche,</w:t>
      </w:r>
    </w:p>
    <w:p>
      <w:r>
        <w:t>- 8 - on ne saurait en règle générale exiger de l'intéressé qu'il conserve son emploi, lorsque les manquements d'un employeur à ses obligations contractuelles atteignent un degré de gravité justifiant une résiliation immédiate au sens de l'article 337 CO (ATF 8C 190/2007 du 25 juin 2007, consid. 6.2 et les références). b) En l'espèce, la recourante fait en substance valoir avoir quitté son emploi en raison d'un ennui de santé, un représentant de son employeur lui ayant, selon elle, affirmé que son statut d'"extra" la priverait de tout droit à une indemnité en cas de maladie. Cependant, rien ne permet d'admettre que l'employeur aurait, en l'espèce, refusé tout droit à une indemnité ou au salaire en cas d'incapacité non fautive de travail (art. 324a CO). A cet égard, la recourante ne pouvait se contenter de la déclaration d'un collaborateur de son employeur, au demeurant sujette à caution. Ainsi, il faut admettre le caractère fautif de la perte d’emploi de la recourante.</w:t>
      </w:r>
    </w:p>
    <w:p>
      <w:r>
        <w:rPr>
          <w:b/>
        </w:rPr>
        <w:t>E. 5</w:t>
      </w:r>
    </w:p>
    <w:p>
      <w:r>
        <w:t>a) La durée de la suspension est proportionnelle à la gravité de la faute, mais ne peut excéder 60 jours (art. 30 al. 3 LACI). Selon l'art. 45 al. 2 OACI, elle est de 1 à 15 jours en cas de faute légère (let. a), de 16 à 30 jours en cas de faute de gravité moyenne (let. b), et de 31 à 60 jours en cas de faute grave (let. c). La durée de la suspension est fixée compte tenu non seulement de la faute, mais également du principe de proportionnalité (ATF 8C_65/2008 du 27 août 2008, consid. 5.3 et la référence). Ont été qualifiés de fautes graves par le Tribunal administratif du canton de Vaud le fait consistant à ne pas informer son employeur de sa mise en détention (arrêt PS 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w:t>
      </w:r>
    </w:p>
    <w:p>
      <w:r>
        <w:t>- 9 - employeur qu'il faisait l'objet d'une mesure de retrait de permis de conduire (arrêt PS 2004.0022 du 7 février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(ATF C 221/01 du 7 novembre 2001, DTA 2002 n° 19 p. 121). b) En l'espèce, l'intimée a prononcé une suspension d'une durée de 31 jours, correspondant au minimum prévu en cas de faute grave, ramenée à 21.73 jours pour tenir compte du gain intermédiaire. Or, il faut souligner qu'au moment où elle a démissionné de son poste, la recourante n'avait travaillé que neuf jours pour le compte de son employeur. En outre, quand bien même les renseignements qu'elle allègue avoir obtenu sur l'absence de droit au salaire en cas de maladie étaient de toute évidence erronés, il n'en demeure pas mois qu'ils expliquent, à tout le moins partiellement, la décision qui lui est reprochée. Enfin, elle a très rapidement retrouvé un emploi salarié. Partant, il apparaît que la qualification de faute grave prononcée par l’autorité intimée est disproportionnée et qu'une suspension du droit à l'indemnité de chômage de 16 jours, correspondant au degré inférieur s'agissant d'une faute de gravité moyenne, paraît appropriée in casu au vu de l'ensemble des circonstances. Il appartiendra à l'autorité intermédiaire de calculer la pénalité effective compte tenu de la perception d'un gain intermédiaire.</w:t>
      </w:r>
    </w:p>
    <w:p>
      <w:r>
        <w:rPr>
          <w:b/>
        </w:rPr>
        <w:t>E. 6</w:t>
      </w:r>
    </w:p>
    <w:p>
      <w:r>
        <w:t>En conclusion, le recours doit être partiellement admis et la décision attaquée réformée en ce sens que la suspension du droit à l'indemnité de chômage de la recourante est réduite à 16 jours.</w:t>
      </w:r>
    </w:p>
    <w:p>
      <w:r>
        <w:t>- 10 - La procédure étant gratuite (art. 61 let. a LPGA) et le recourant ayant agi sans mandataire professionnel, il n'y a pas lieu de percevoir de frais judiciaires ni d'allouer de dépens. Par ces motifs, le juge unique p r o n o n c e : I. Le recours est partiellement admis. II. La décision attaquée est réformée en ce sens que la suspension du droit aux indemnités de chômage de la recourante est réduite à 16 jours. III. Le présent arrêt est rendu sans frais ni allocation de dépens. Le juge unique : La greffière : Du L'arrêt qui précède est notifié à : - Q.________, [...], - O.________, [...], - Secrétariat d'Etat à l'économie (SECO), Effingerstrasse 31,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