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ZP08.023169 vom 20. Januar 2010</w:t>
      </w:r>
    </w:p>
    <w:p>
      <w:r>
        <w:t>VD Tribunal cantonal, 2010-01-20, FR</w:t>
      </w:r>
    </w:p>
    <w:p>
      <w:r>
        <w:rPr>
          <w:b/>
        </w:rPr>
        <w:t xml:space="preserve">Quelle: </w:t>
      </w:r>
      <w:r>
        <w:t>https://mcp.opencaselaw.ch/entscheid/vd_gerichte_ZP08.023169</w:t>
      </w:r>
    </w:p>
    <w:p>
      <w:r>
        <w:t>FR: VD_GERICHTE ZP08.023169 du 20 janvier 2010</w:t>
      </w:r>
    </w:p>
    <w:p>
      <w:r>
        <w:t>IT: VD_GERICHTE ZP08.023169 del 20 gennaio 2010</w:t>
      </w:r>
    </w:p>
    <w:p>
      <w:pPr>
        <w:pStyle w:val="Heading2"/>
      </w:pPr>
      <w:r>
        <w:t>Erwägungen</w:t>
      </w:r>
    </w:p>
    <w:p>
      <w:r>
        <w:rPr>
          <w:b/>
        </w:rPr>
        <w:t>E. 1</w:t>
      </w:r>
    </w:p>
    <w:p>
      <w:r>
        <w:t>a) Aux termes de l'art. 14 al. 2 aLVLAVI (loi vaudoise du 16 décembre 1992 d'application de la loi fédérale du 4 octobre 1991 sur l'aide aux victimes d'infractions, RA 1992 479), dans sa teneur en vigueur jusqu'au 31 décembre 2008, le Tribunal cantonal des assurances est compétent pour connaître des recours contre les décisions relatives aux décisions d'indemnisation et de réparation morale. Le recours s'exerce par écrit dans un délai de vingt jours dès la communication de la décision attaquée.</w:t>
      </w:r>
    </w:p>
    <w:p>
      <w:r>
        <w:t>- 7 - Les causes pendantes devant cette autorité ont été reprises par la Cour des assurances sociales (cf. art. 117 al. 1 LPA-VD [loi vaudoise du 28 octobre 2008 sur la procédure administrative, RS 173.36], entrée en vigueur le 1er janvier 2009). b) En l’occurrence, le recours, interjeté en temps utile auprès du tribunal compétent, est recevable en la forme.</w:t>
      </w:r>
    </w:p>
    <w:p>
      <w:r>
        <w:rPr>
          <w:b/>
        </w:rPr>
        <w:t>E. 2</w:t>
      </w:r>
    </w:p>
    <w:p>
      <w:r>
        <w:t>Est litigieux en l’espèce le montant de l’indemnisation pour tort moral. Selon l'art. 48 let. a LAVI (loi fédérale du 23 mars 2007 sur l'aide aux victimes d'infractions, RS 312.5), le droit d'obtenir une indemnité et une réparation morale pour des faits qui se sont déroulés avant l'entrée en vigueur de la présente loi est régi par l’ancien droit. La présente cause est dès lors soumise à la loi fédérale du 4 octobre 1991 sur l'aide aux victimes d'infractions (aLAVI, RO 1992 2465), en vigueur jusqu'au 31 décembre 2008. a) En vertu des art. 2 al. 1 et 11 al. 1 aLAVI, celle ou celui qui est victime d'une infraction pénale et subit, de ce fait, une atteinte directe à son intégrité corporelle, sexuelle ou psychique, peut demander une indemnisation ou une réparation morale dans le canton où l'infraction a été commise. L'indemnité, qui ne peut excéder 100'000 fr., est fixée en fonction du montant du dommage subi et des revenus de la victime (art. 13 aLAVI). La réparation morale est due, elle, indépendamment du revenu de la victime, lorsque celle-ci subit une atteinte grave et que des circonstances particulières justifient cette réparation (art. 12 al. 2 aLAVI ; TF 1C_102/2009 du 16 juin 2009, consid. 2.1). La aLAVI ne contient aucune disposition sur la détermination de cette indemnité. Se référant à des notions juridiques indéterminées, la prétention dépend dans une large mesure – quant à son principe et son étendue – du pouvoir d'appréciation de l'autorité ; telle est la signification</w:t>
      </w:r>
    </w:p>
    <w:p>
      <w:r>
        <w:t>- 8 - de l'expression potestative utilisée par la loi. Lorsque ces conditions sont remplies, le paiement de la somme d'argent à titre de réparation morale ne représente pas une libéralité de l'Etat, mais il correspond à un véritable droit du créancier que celui-ci peut exercer en justice (ATF 125 II 169 consid. 2b/bb ; ATF 121 II 369 consid. 3c). L'autorité d'indemnisation n'est pas liée par le montant alloué par le juge pénal contre l'auteur de l'infraction car il s'agit d'une question de droit que l'autorité LAVI apprécie librement (ATF 129 Il 312 consid. 2.8 ; TF 1C_182/2007 du 28 novembre 2007, consid. 6). b) La définition de l'art. 12 al. 2 aLAVI correspond dans une large mesure aux critères prévus aux art. 47 et 49 CO (code des obligations, RS 220), qui précisent à quelles conditions l'auteur d'un acte illicite est tenu de s'acquitter d'une réparation morale en faveur de la victime. En effet, l'exigence de la gravité de l'atteinte et de circonstances particulières figure aussi aux art. 47 et 49 CO. Il convient ainsi de s'inspirer, par analogie, des principes développés par la jurisprudence civile relative à ces dispositions pour déterminer les conditions d’octroi d'une réparation morale, ainsi que la quotité de cette indemnité (ATF 125 II 554 consid. 2a ; TF 1C_182/2007 du 28 novembre 2007, consid. 4 et les références). La prétention de l'art. 12 al. 2 aLAVI se distingue toutefois, par sa nature juridique, de la prétention civile découlant de l'art. 47 CO. En effet, le débiteur de la réparation morale, ainsi que la nature juridique d'une telle obligation, ne sont pas les mêmes, ce qui peut conduire à des différences dans le système de la réparation (ATF 125 II 169 consid. 2b et la référence). Il faut ainsi prendre en considération les différences et ressemblances entre, d'une part, les décisions rendues par les instances d'aide aux victimes d'infraction et, d'autre part, celles rendues par les tribunaux pénaux ou civils (ATF 124 II 8 consid. 3d/bb, JdT 1999 IV 43). Parmi les différences entre les décisions rendues par les instances LAVI et celles rendues par les tribunaux pénaux ou civils, on relèvera que le juge pénal, qui accorde une indemnité pour tort moral, le</w:t>
      </w:r>
    </w:p>
    <w:p>
      <w:r>
        <w:t>- 9 - fait en statuant sur les prétentions civiles de la victime à l'encontre de l'auteur du dommage (art. 9 aLAVI), alors que l'action de l'art. 12 al. 2 aLAVI concerne une prétention de la victime à recevoir, du canton concerné, une somme à titre de réparation morale, sur laquelle le juge LAVI peut statuer de manière indépendante. Dans le cas de la réparation morale selon la LAVI, on se trouve en présence d'une prestation étatique (ATF 125 Il 169 consid. 2b ; ATF 121 Il 369 consid. 3c/aa). Le système de réparation et d'indemnisation du tort moral prévu par la LAVI repose sur l'idée d'une prestation d'assistance et non d'une responsabilité de l'Etat, qui n'est pas tenu à des prestations aussi étendues que celles exigibles en principe de l'auteur de l'infraction, car il n'est pas responsable des conséquences d'une infraction (ATF 128 II 49 consid. 4.1 ; ATF 125 II 554 consid. 2a, JdT 2001 IV 96). En définitive, 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(ATF 125 II 169 consid 2b ; TF 1A.169/2001 du 7 février 2002, consid. 5.1 et les références). c) En cas d’atteinte à l’intégrité physique, une certaine gravité de l’atteinte est exigée, comme par exemple une invalidité ou une diminution durable d’un organe important.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Les atteintes à l’intégrité psychique n’entrent en considération pour une réparation morale que lorsqu’elles sont importantes, telles des situations de stress post-traumatiques conduisant à un changement durable de la personnalité par exemple (TF 1A.235/2000 du 21 février 2001 ; TF 1A.20/2002 du 4 juillet 2002 ; Mizel, La qualité de</w:t>
      </w:r>
    </w:p>
    <w:p>
      <w:r>
        <w:t>- 10 - victime LAVI et la mesure actuelle des droits qui en découlent, in : JdT 2003 IV 38), où lorsqu'elles entraînent une altération profonde ou prolongée du bien-être (TF 1P.147/2003 du 19 mars 2003). Il ne suffit donc pas que la victime ait subi des désagréments, qu'elle ait eu peur ou qu'elle ait eu quelque mal (ATF 129 IV 216 consid. 1.2.1 ; TF 1C_102/2009 du 16 juin 2009, consid. 2.1). La souffrance consécutive à la peur de mourir n'est prise en compte comme facteur d'augmentation dans la doctrine et la jurisprudence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l'art. 12 al. 2 aLAVI (TF 1A.235/2000 du 21 février 2001 ; Mizel, op. cit., p. 97).</w:t>
      </w:r>
    </w:p>
    <w:p>
      <w:r>
        <w:rPr>
          <w:b/>
        </w:rPr>
        <w:t>E. 3</w:t>
      </w:r>
    </w:p>
    <w:p>
      <w:r>
        <w:t>Comme relevé dans la jurisprudence exposée ci-dessus, l'autorité d’indemnisation LAVI n'est pas liée par le jugement pénal concernant l'octroi ou non d'une indemnité. Elle l'est d'autant moins en l'espèce que le Tribunal correctionnel de l’arrondissement de La Côte a pris acte de l'engagement des deux auteurs du brigandage présents à l'audience se reconnaissant débiteurs du recourant de la somme de 15'000 fr. réclamée par lui au titre d'indemnisation pour tort moral, prétention qu'il n'a ainsi pas examinée. Le recourant a certes été attaché et bâillonné pendant plusieurs minutes et a également vu sa collègue être prise en otage et menacée de mort avec un couteau sur la gorge. Selon sa mère, « pendant des semaines, son fils n'osait pas rentrer seul chez lui » et il lui a « fallu plusieurs semaines avant de reprendre le dessus », le traumatisme étant toujours présent. Il n'est pas contesté que l’intéressé a ressenti une très grande peur pendant l'agression. Toutefois, à la suite du débriefing, il n'a pas dû être suivi par un psychiatre. En outre, bien qu’il allègue une</w:t>
      </w:r>
    </w:p>
    <w:p>
      <w:r>
        <w:t>- 11 - modification de sa personnalité et de son caractère, aucun diagnostic médical de changement durable de la personnalité n'a été posé. Par conséquent, compte tenu des conditions très rigoureuses posées par la jurisprudence concernant l'octroi d'une indemnité pour tort moral, il apparaît, au regard de l'ensemble des circonstances, que le recourant ne peut prétendre à aucun montant.</w:t>
      </w:r>
    </w:p>
    <w:p>
      <w:r>
        <w:rPr>
          <w:b/>
        </w:rPr>
        <w:t>E. 4</w:t>
      </w:r>
    </w:p>
    <w:p>
      <w:r>
        <w:t>En définitive, le recours se révèle mal fondé et doit donc être rejeté, ce qui entraîne la confirmation de la décision entreprise. Il n’y a pas lieu de percevoir de frais, la procédure étant gratuite (art. 16 al. 1 aLAVI), ni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