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ZN10.035757 vom 9. Januar 2014</w:t>
      </w:r>
    </w:p>
    <w:p>
      <w:r>
        <w:t>VD Tribunal cantonal, 2014-01-09, FR</w:t>
      </w:r>
    </w:p>
    <w:p>
      <w:r>
        <w:rPr>
          <w:b/>
        </w:rPr>
        <w:t xml:space="preserve">Quelle: </w:t>
      </w:r>
      <w:r>
        <w:t>https://mcp.opencaselaw.ch/entscheid/vd_gerichte_ZN10.035757</w:t>
      </w:r>
    </w:p>
    <w:p>
      <w:r>
        <w:t>FR: VD_GERICHTE ZN10.035757 du 9 janvier 2014</w:t>
      </w:r>
    </w:p>
    <w:p>
      <w:r>
        <w:t>IT: VD_GERICHTE ZN10.035757 del 9 gennaio 2014</w:t>
      </w:r>
    </w:p>
    <w:p>
      <w:pPr>
        <w:pStyle w:val="Heading2"/>
      </w:pPr>
      <w:r>
        <w:t>Erwägungen</w:t>
      </w:r>
    </w:p>
    <w:p>
      <w:r>
        <w:rPr>
          <w:b/>
        </w:rPr>
        <w:t>E. 3</w:t>
      </w:r>
    </w:p>
    <w:p>
      <w:r>
        <w:t>a) L’appelante soutient que les conditions générales/spéciales x.___ 1999/2001 ne sont pas valablement incorporées à son contrat, de sorte qu’il y a lieu de se baser uniquement sur la proposition d’assurance signée le 7 décembre 2001, qui contient tous les éléments essentiels du contrat et a été acceptée par l’assurance au plus tard lors de sa première incapacité de travail en janvier 2002. Elle considère que si les premiers juges ont retenu que les CGA 01.2005 ne lui étaient pas opposables parce</w:t>
      </w:r>
    </w:p>
    <w:p>
      <w:r>
        <w:t>- 15 - qu’il n’était pas établi qu’elle les avait reçues, il devrait en aller de même en ce qui concerne les conditions générales/spéciales x.___ 1999/2001 qu’elle n’a pas reçues non plus, de même que la police d’assurance. Elle prétend aussi que la clause en petits caractères à la fin de la proposition d’assurance est trop vague, car elle ne mentionne pas quelles CGA et quelle édition lui auraient été transmises. b) L’art. 3 aLCA, en vigueur en 2001, dispose que les conditions générales de l’assurance doivent ou bien être contenues dans le formulaire même de proposition fourni par l’assureur ou bien avoir été remises au proposant avant qu’il ait remis le formulaire contenant sa proposition de contrat. Conformément à la jurisprudence, en signant la proposition d’assurance, le preneur se soumet aux conditions générales qu’elle contient. Il suffit en outre que la police renvoie simplement aux conditions générales d’assurance. Ainsi, le preneur d’assurance est lié par les conditions générales d’assurance lorsqu’elles sont mentionnées sur la proposition qu’il a signée pour autant qu’il ne démontre pas clairement qu’elles ne lui auraient pas été remises (Carré, Loi fédérale sur le contrat d’assurance, Lausanne 2000, ad art. 3 LCA, pp. 121-122). Selon la jurisprudence du Tribunal fédéral, les clauses d’un contrat d’assurance, de même que les conditions générales qui ont été expressément incorporées, doivent être interprétées selon les mêmes principes juridiques que les autres dispositions contractuelles (ATF 135 III 410 c. 3.2 publié in SJ 2009 I, p. 429 ; pour les conditions générales : ATF 135 III 1 c. 2 ; ATF 133 III 675 c. 3.3). S’il n’est pas exclu que l’on retrouve épisodiquement une référence à l’adage « in dubio contra stipulatorem », il est manifeste que celui-ci a perdu de l’importance. Il faut dire que l’idée de punir celui qui a rédigé le contrat ou de trancher systématiquement en faveur de l’assuré ne trouve aucun point d’appui dans le texte légal. Le but de l’interprétation consiste bien plutôt à dégager la volonté exprimée, en considérant la manifestation de volonté telle qu’elle devait être comprise de bonne foi par son destinataire (Corboz, Le contrat d’assurance dans la jurisprudence récente, in SJ 2011 lI, pp. 247 ss et les réf. citées).</w:t>
      </w:r>
    </w:p>
    <w:p>
      <w:r>
        <w:t>- 16 -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61 c. 2.2.1 et réf.). Lorsque l’assureur,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 dire clairement ; conformément au principe de la confiance, c’est à l’assureur qu’il incombe de délimiter la portée de l’engagement qu’il entend prendre et le preneur n’a pas à supposer des restrictions qui ne lui ont pas été clairement</w:t>
      </w:r>
    </w:p>
    <w:p>
      <w:r>
        <w:t>- 17 - présentées (Corboz, op. cit., pp. 247 ss ; ATF 133 III 675 c. 3.3 ; dans une forme résumée ATF 135 III 410 c. 3.2, publié in SJ 2009 I, p. 429). Enfin, conformément à l’art. 11 al. 1 LCA, lorsque la proposition d’assurance (émanant du preneur) a été acceptée par l’assureur, ce dernier est tenu de remettre au preneur un document, appelé la police, qui constate les droits et les obligations des parties. c) En l’espèce, la police d’assurance individuelle consécutive à la proposition d’assurance signée le 7 décembre 2001 par l’appelante n’a pas été produite, de sorte qu’il y a lieu de se fonder sur cette proposition pour déterminer quelle était la réelle et commune volonté des parties. Dans ce document, l’appelante a coché les rubriques pour l’admission à la nouvelle assurance « x.___ – Assurance d’indemnités journalières pour perte de gain (classes AB/KM) », sous lesquelles il était indiqué que l’indemnité journalière s’élevait à 198 « francs fixes », avec paiement différé au 61ème jour. Dans la même section, la rubrique concernant la date d’édition des CGA applicables n’a pas été remplie. Juste au-dessus de la signature de l’assurée figurait la mention selon laquelle elle confirmait avoir reçu un exemplaire des conditions générales/spéciales d’assurance qui faisaient partie intégrante du contrat. En outre, les attestations d’assurance valables au 1er janvier 2003 et 1er janvier 2004 que l’appelante a reçues indiquent la couverture d’assurance x.___ et l’application des « CGA 01.1999 ». Dans ces circonstances, il y a lieu d’admettre que l’appelante ne pouvait ignorer que des conditions générales complétaient la proposition d’assurance qu’elle avait signée, ce qui est au demeurant l’usage en matière d’assurance, ni que des conditions spéciales étaient également applicables dans la mesure où elle souscrivait une assurance complémentaire spécifique perte de gain parmi d’autres propositions d’assurances. En outre, interprétée selon le principe de la confiance, la proposition d’assurance ne peut se référer qu’aux conditions générales/spéciales applicables au moment où elle a été signée et pas à des conditions générales/spéciales obsolètes ou futures. L’application des CGA 01.2001 et des CSA x.___ 1999 retenue par les premiers juges doit par conséquent être confirmée.</w:t>
      </w:r>
    </w:p>
    <w:p>
      <w:r>
        <w:t>- 18 - Il convient au demeurant de constater que les art. 11 CSA x.___ 1999 (surindemnisation) et 20 al. 2 CGA 01.2001 (prestations d’autres assureurs ou de tiers) (cf. supra, let. C, ch. 3) ne sont ni ambigus ni insolites. Selon la jurisprudence, la validité des clauses contenues dans des conditions générales est limitée par la règle de la clause insolite, selon laquelle une telle clause n’est admissible que si la partie réputée faible ou moins expérimentée a été spécialement mise en garde à son sujet. Pour être insolite, la clause doit conduire à un changement essentiel du caractère du contrat ou s’écarter de manière sensible du cadre légal pour ce type de contrat (ATF 135 III 1 c. 2.1 ; ATF 135 III 225 c. 1.3 ; ATF 138 III 411 c. 3.1). Ainsi a été jugée insolite la clause qui exclut le droit de résiliation du preneur d’assurance dans l’hypothèse où l’assureur adapte le contrat à la suite d’une décision de l’autorité (ATF 135 III 1) ou encore la clause prévoyant que les indemnités journalières dues pour cause de maladie sont réduites de moitié en cas de maladie psychique (ATF 138 III 411). Est insolite la disposition qui est étrangère à la nature même de la convention et qui est susceptible de provoquer la surprise chez une partie faible ou inexpérimentée (Brulhart, Droit des assurances privées, 2008, p. 129). Tel n’est pas le cas en l’espèce puisqu’il n’y a rien de surprenant à ce que l’assureur perte de gain complémentaire précise dans ses conditions générales et spéciales que ses prestations ne seront versées que sous déduction des prestations déjà versées par les assureurs sociaux.</w:t>
      </w:r>
    </w:p>
    <w:p>
      <w:r>
        <w:rPr>
          <w:b/>
        </w:rPr>
        <w:t>E. 4</w:t>
      </w:r>
    </w:p>
    <w:p>
      <w:r>
        <w:t>L’appelante prétend que les indemnités versées par P.________SA lors du premier sinistre en 2002 l’ont été sans imputation de prestations versées par V.________ et que l’assurance n’a jamais prétendu à un quelconque remboursement. Elle soutient que P.________SA a eu connaissance au plus tard au printemps 2002 du versement des prestations de V.________ et que le fait que celle-ci n’a pas réagi confirme tacitement qu’il n’a jamais été question de déduire les prestations de V.________ du montant de l’indemnité journalière.</w:t>
      </w:r>
    </w:p>
    <w:p>
      <w:r>
        <w:t>- 19 - Il n’est pas contesté que l’appelante a été en incapacité de travail à partir du 1er janvier 2002, que V.________ a versé des prestations à partir du 3 janvier 2002 (cf. P. 101.1 du bordereau de l’appelante du 21 mars 2011) et que P.________SA a indemnisé la perte de salaire par le versement d’une indemnité journalière de 198 fr. dès le 61ème jour d’incapacité (cf. P. E du bordereau de la défenderesse du 1er octobre 2012). Contrairement à ce que soutient l’appelante, il ressort clairement de la pièce F du bordereau du 1er octobre 2012 que, le 7 juin 2004, P.________SA a informé celle-ci que le cumul de ses propres indemnités journalières, de la rente de V.________ et des prestations que l’OAI s’apprêtait à lui verser avec effet rétroactif du 1er novembre 2002 au 30 juin 2003 aboutirait à une surindemnisation de 7'108 fr. 20 durant cette période. L’assurance lui a dès lors demandé de signer le formulaire de compensation à faire valoir auprès de l’OAI afin de récupérer cette somme. S’il est ainsi établi que P.________SA a demandé à être remboursée en raison d’une surindemnisation, on ne sait en revanche pas si l’appelante a signé le formulaire de compensation et si, partant, l’assurance a pu recouvrer la somme versée en trop. Cela n’est toutefois pas déterminant pour l’examen du présent litige. Si P.________SA n’a pas réagi avant d’apprendre que l’appelante allait toucher une rente AI à partir du 1er novembre 2002 à titre rétroactif et si elle n’a pas demandé à l’intéressée la restitution de prestations versées en trop du 1er janvier au 31 octobre 2002, c’est très probablement parce que le cumul de ses propres prestations et celles de V.________ durant cette période n’aboutissait pas à une surindemnisation. En effet, dès lors que, durant la période du 1er novembre 2002 au 30 juin 2003, le total des prestations de P.________SA et de V.________ par 66'478 fr. (35'227 fr. 60 + 31'250 fr. 40 respectivement) était inférieur au salaire de 76'318 fr. 80 que l’appelante aurait réalisé si elle était restée en bonne santé, il en est certainement allé de même pour la période du 1er janvier au 31 octobre 2002. Quoi qu’il en soit, même s’il était établi que P.________SA avait renoncé à obtenir le remboursement de prestations indûment versées du 1er janvier 2002 au 30 juin 2003, cela ne suffirait pas pour en déduire qu’elle a renoncé à faire valoir toute surindemnisation pour l’avenir.</w:t>
      </w:r>
    </w:p>
    <w:p>
      <w:r>
        <w:t>- 20 -</w:t>
      </w:r>
    </w:p>
    <w:p>
      <w:r>
        <w:rPr>
          <w:b/>
        </w:rPr>
        <w:t>E. 5</w:t>
      </w:r>
    </w:p>
    <w:p>
      <w:r>
        <w:t>L’appelante expose ensuite que le montant de l’indemnité journalière de 198 fr. a été calculé après déduction des éventuelles prestations des premier et deuxième piliers, de sorte qu’il ne saurait être question, lors du versement effectif de l’indemnité journalière, d’imputer une seconde fois d’éventuelles prestations des assureurs sociaux. A l’appui de son argumentation, l’appelante se réfère à la « Feuille de calcul pour les collaborateurs du Q.________ » établie par P.________SA le 28 novembre 2001 (cf. supra, let. C, ch. 6). On ne dispose d’aucun renseignement sur la manière dont l’assurance a calculé le montant de l’indemnité journalière. Le calcul exposé par l’appelante semble cohérent, à savoir que, de son salaire annuel de 106'886 fr., auraient été déduites les prestations LPP par 21'684 fr. (12 x 1'807 fr.) et la rente annualisée minimale du premier pilier par 12'360 fr. (12 x 1'030 fr.), ce qui aboutit au chiffre de 198 fr. ([106'886 fr. – 21'684 fr. – 12'360 fr.] / 365). Toutefois, il ne s’agit là que d’un calcul théorique visant à évaluer au plus juste la perte de gain que l’assuré aurait à subir et, partant, à déterminer le montant de la prime mensuelle. Ce calcul ne concerne en rien la manière dont l’assureur entend ensuite indemniser l’assuré et c’est sur ce point particulier que l’appelante se méprend. En effet, ce n’est pas l’indemnité journalière de 198 fr. qui doit être imputée à hauteur des prestations versées par les assureurs sociaux (cf. appel, p. 8 let. g et f), mais bel et bien le salaire effectif que l’appelante aurait réalisé si elle était restée en bonne santé qui doit être imputé, en l’espèce, des versements des rentes invalidité AI et LPP (cf. art. 11 CSA x.___ 1999). C’est dès lors à bon droit que les premiers juges ont considéré qu’il y avait lieu d’imputer les prestations des assureurs AI et LPP du salaire effectif de l’appelante afin de déterminer le droit aux prestations de P.________SA.</w:t>
      </w:r>
    </w:p>
    <w:p>
      <w:r>
        <w:rPr>
          <w:b/>
        </w:rPr>
        <w:t>E. 6</w:t>
      </w:r>
    </w:p>
    <w:p>
      <w:r>
        <w:t>L’appelante fait valoir encore que, s’agissant de son incapacité de travail ayant débuté en 2008, le délai d’attente n’est pas de 360 jours mais de 60 jours, comme indiqué dans la proposition d’assurance. Le 14 juillet 2004, l’appelante a expressément demandé à l’intimée que sa prime mensuelle soit réduite dès lors que, selon la</w:t>
      </w:r>
    </w:p>
    <w:p>
      <w:r>
        <w:t>- 21 - nouvelle réglementation de son employeur, son salaire lui était versé en entier pendant les douze premiers mois d’incapacité de travail. Dans ce courrier, elle a d’ailleurs elle-même indiqué que « Ce n’est donc qu’à partir du 361e jour que je dois être assurée ». Les attestations d’assurance qu’elle a reçues indiquent également que le délai d’attente est de 360 jours. En outre, conformément à la jurisprudence, lorsqu’il s’est établi une relation durable entre les parties, il arrive que l’assureur envoie une nouvelle police sans que celle-ci ne soit précédée d’un nouvel accord entre les parties. Il faut alors plutôt considérer que cette police constitue une nouvelle offre de l’assureur qui peut être acceptée par actes concluant, notamment en payant la prime proposée (TF 4C.98/2007 du 29 avril 2008, cité par Corboz, op. cit., p. 252). Ainsi, dès lors qu’à sa demande, le paiement des indemnités a été différé en échange d’une réduction de prime, l’appelante ne saurait prétendre, après avoir versé pendant des années une prime réduite, que ce délai d’attente de 360 jours ne s’applique pas.</w:t>
      </w:r>
    </w:p>
    <w:p>
      <w:r>
        <w:rPr>
          <w:b/>
        </w:rPr>
        <w:t>E. 7</w:t>
      </w:r>
    </w:p>
    <w:p>
      <w:r>
        <w:t>L’appelante conteste que le droit aux indemnités journalières s’éteint après 720 jours. Comme exposé ci-dessus, les conditions spéciales CSA x.___ 1999 sont applicables à l’appelante. L’art. 6 al. 1 qui dispose que les prestations assurées sont versées, pour une ou plusieurs maladies, pendant 720 jours au maximum délimite clairement le droit aux prestations et ne donne lieu à aucune autre interprétation.</w:t>
      </w:r>
    </w:p>
    <w:p>
      <w:r>
        <w:rPr>
          <w:b/>
        </w:rPr>
        <w:t>E. 8</w:t>
      </w:r>
    </w:p>
    <w:p>
      <w:r>
        <w:t>L’appelante affirme que les premiers juges n’auraient pas dû retenir un revenu annuel de 122’455 fr. correspondant à un taux d’activité de 90 %, mais un revenu de 136'050 fr. correspondant à un taux d’activité de 100 pour-cent. En l’espèce, l’appelante ne conteste pas le fait qu’elle travaillait à 90 % lorsque son incapacité de travail a débuté le 20 mai 2008. C’est d’ailleurs ce qui est indiqué dans le formulaire « déclaration d’incapacité de travail maladie » qu’elle a signé en juin 2009. Sachant que</w:t>
      </w:r>
    </w:p>
    <w:p>
      <w:r>
        <w:t>- 22 - l’assurance journalière complémentaire a pour but la protection contre la perte de gain effective (cf. art. 11 CSA x.___ 1999), ce n’est pas le revenu au moment de la conclusion de l’assurance qui est déterminant, mais celui au moment de la survenance de l’incapacité de travail. L’assurance couvre en effet la perte de gain liée à une incapacité de travail et non à un choix personnel de réduire son activité. Au demeurant, l’appelante ne soutient pas ni ne prouve qu’elle était déjà en incapacité de travailler à 10 % à ce moment-là, par exemple en produisant la copie d’un certificat médical. Enfin, la prise en compte du revenu sans invalidité de 122'445 fr. fixé par l’OAI dans sa décision du 16 juillet 2010 ne prête pas le flanc à la critique.</w:t>
      </w:r>
    </w:p>
    <w:p>
      <w:r>
        <w:rPr>
          <w:b/>
        </w:rPr>
        <w:t>E. 9</w:t>
      </w:r>
    </w:p>
    <w:p>
      <w:r>
        <w:t>Les calculs effectués par les premiers juges en ce qui concerne l’indemnisation de l’incapacité de travail de l’appelante du 1er février au 28 février 2010, du 1er mars au 31 mai 2010 et à partir du 1er juin 2010 pour les 339 jours restants, sont corrects et doivent être confirmés.</w:t>
      </w:r>
    </w:p>
    <w:p>
      <w:r>
        <w:rPr>
          <w:b/>
        </w:rPr>
        <w:t>E. 10</w:t>
      </w:r>
    </w:p>
    <w:p>
      <w:r>
        <w:t>Enfin, l’appelante s’en prend aux dépens de 1'800 fr. qui lui ont été alloués. L’appelante a obtenu environ un tiers du montant qu’elle réclamait, alors que l’intimée avait conclu au rejet de sa demande. Assistée par un mandataire professionnel, elle a droit à des dépens (art. 55 LPA-VD [loi vaudoise du 28 octobre 2008 sur la procédure administrative ; RSV 173.36], applicable par analogie selon l’art. 109 al. 1 LPA-VD), fixés d’après l’importance et la complexité du litige, sans égard à la valeur litigieuse (application analogique de l’art. 7 TFJAS). En l’espèce, compte tenu de la complexité de l’affaire (double échange d’écritures, tenue de deux audiences et dépôt de mémoires de droit), de plein dépens de 6'000 fr., supérieurs à la fourchette non limitative de l’art. 7 TFJAS, apparaissent adéquats, de sorte que la défenderesse versa à la demanderesse, qui obtient partiellement gain de cause, des dépens réduits de 4'000 francs.</w:t>
      </w:r>
    </w:p>
    <w:p>
      <w:r>
        <w:rPr>
          <w:b/>
        </w:rPr>
        <w:t>E. 11</w:t>
      </w:r>
    </w:p>
    <w:p>
      <w:r>
        <w:t>Il résulte de ce qui précède que l’appel doit être partiellement admis et le jugement entrepris réformé en ce sens qu’O.________SA doit</w:t>
      </w:r>
    </w:p>
    <w:p>
      <w:r>
        <w:t>- 23 - verser à B.________ 4'000 fr. à titre de dépens de première instance. Le jugement est confirmé pour le surplus. Il n’est pas perçu de frais judiciaires de deuxième instance (art. 113 al. 2 let. f CPC). Dès lors que l’appelante n’obtient gain de cause que sur une question accessoire et succombe pour l’essentiel, les dépens de deuxième instance doivent être répartis à raison de 5/6 à la charge de l’appelante et 1/6 à la charge de l’intimée. L’appelante a par conséquent droit à des dépens réduits de 500 fr. sur la base de pleins dépens de 3'000 francs.</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