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ZN08.013720 vom 16. März 2010</w:t>
      </w:r>
    </w:p>
    <w:p>
      <w:r>
        <w:t>VD Tribunal cantonal, 2010-03-16, FR</w:t>
      </w:r>
    </w:p>
    <w:p>
      <w:r>
        <w:rPr>
          <w:b/>
        </w:rPr>
        <w:t xml:space="preserve">Quelle: </w:t>
      </w:r>
      <w:r>
        <w:t>https://mcp.opencaselaw.ch/entscheid/vd_gerichte_ZN08.013720</w:t>
      </w:r>
    </w:p>
    <w:p>
      <w:r>
        <w:t>FR: VD_GERICHTE ZN08.013720 du 16 mars 2010</w:t>
      </w:r>
    </w:p>
    <w:p>
      <w:r>
        <w:t>IT: VD_GERICHTE ZN08.013720 del 16 marzo 2010</w:t>
      </w:r>
    </w:p>
    <w:p>
      <w:pPr>
        <w:pStyle w:val="Heading2"/>
      </w:pPr>
      <w:r>
        <w:t>Erwägungen</w:t>
      </w:r>
    </w:p>
    <w:p>
      <w:r>
        <w:rPr>
          <w:b/>
        </w:rPr>
        <w:t>E. 3</w:t>
      </w:r>
    </w:p>
    <w:p>
      <w:r>
        <w:t>a) L'art. 9 LCA dispose que le contrat d'assurance est nul, sous réserve des cas – sans pertinence pour la présente espèce – prévus à l'art. 100 al. 2 LCA, si, au moment où il a été conclu, le risque avait déjà disparu ou si le sinistre était déjà survenu. La finalité de l'art. 9 LCA est d'exclure de l'assurance les événements futurs certains, c'est-à-dire ceux dont la cause préexiste à la conclusion du contrat (Maurer, Privatversicherungsrecht, 3ème éd., pp. 243 s.; Honsell / Vogt / Schnyder, Bundesgesetz über den Versicherungsvertrag, Bâle et Genève 2001, p. 173; Kuhn / Montavon, Droit des assurances privées, Lausanne 1994, pp. 108-112, spéc. p. 110 avec note 53; Carré, Loi fédérale sur le contrat d'assurance, édition annotée, Lausanne 2000, note ad art. 9). Dans l'assurance-maladie complémentaire, le risque contre les conséquences duquel l'assurance a été conclue consiste en la maladie de la personne assurée (ATF 127 III 21 c. 2b/aa, JT 2001 I 568).</w:t>
      </w:r>
    </w:p>
    <w:p>
      <w:r>
        <w:t>- 8 - Selon la jurisprudence, lorsqu'une maladie s'est déclarée avant la conclusion du contrat, il faut considérer que le sinistre est déjà survenu au sens de l'art. 9 LCA, de sorte qu'un contrat ne peut pas être valablement conclu ultérieurement pour couvrir des rechutes de cette maladie, même si celle-ci a été signalée par l'assuré (ATF 127 III 21; Bruhlhart, Droit des assurances privées, 2008, n. 427 p. 189, qui relève que cette jurisprudence a fait l'objet de critiques). La notion juridique de la maladie ne se recoupe pas nécessairement avec la notion médicale (ATF 124 V 118 c. 3b). La conception selon laquelle ce n'est pas l'apparition des symptômes, mais leur cause médicale qui importe pour définir la maladie, est en accord avec la jurisprudence du Tribunal fédéral des assurances (ATF 124 V 118 c. 6b) et avec la réglementation des réserves dans l'assurance maladie obligatoire (ATF 127 III 21 c. 2b/bb). La maladie se définit selon les CGA applicables (art. 6.1 CGA AMC), qui reprennent l'art. 3 LPGA comme "toute atteinte à la santé physique, mentale ou psychique qui n'est pas due à un accident et qui exige un examen ou un traitement médical ou provoque une incapacité de travail". Au regard de l'art. 9 LCA, ce n'est pas la connaissance subjective du preneur d'assurance, mais la seule existence objective de l'affection qui est décisive (Nef, Commentaire bâlois, 2001, n. 17 ad art. 9 LCA; Roelli / Keller, Kommentar zum schweizerischen Bundesgesetz über den Versicherungsvertrag, I, Berne 1968, p. 174 et les références à la note 8; König, Schweizerisches Privatversicherungsrecht, 3ème éd., Berne 1967, p. 160). Le moment décisif pour déterminer si un sinistre était déjà intervenu est celui de la conclusion (consensuelle et soumise à la forme des art. 1 ss LCA) du contrat, et non pas celui de l'entrée en vigueur du contrat ou du jour de délivrance de la police (ATF 122 III 128, JT 1987 I 805; TF, RBA XII n. 38).</w:t>
      </w:r>
    </w:p>
    <w:p>
      <w:r>
        <w:t>- 9 - L'ATF 127 III 21 a jugé que le risque est survenu lorsqu'une maladie s'est déclarée avant la conclusion du contrat, a été traitée comme telle (il s'agissait d'une arthrose) et présente des risques de rechute. Les symptômes qui apparaissent ultérieurement en pareilles circonstances sont à regarder en effet comme des restes d'une maladie qui perdure. Toutefois, l'hypothèse de la rechute n'est pas ici en cause. Dans un cas où une malposition dentaire avait exigé un examen médical quelques années avant la conclusion du contrat, il a été jugé que le sinistre était survenu avant celle-ci (Pdt TAss, 23 avril 2004, AMC 9/03 – 13/2004). Dans le cas d'une agénésie dentaire, à savoir l'absence de formation d'une dent, n'ayant été constatée par des radiographies qu'après la conclusion du contrat, il a en revanche été jugé que les conditions de l'art. 9 LCA n'étaient pas réalisées, dès lors que rien n'avait justifié auparavant de procéder à des examens (TAss, 24 juillet 2006, AMC10/04-12/2006). La cour de céans a jugé que le mauvais positionnement des dents n'appelait pas nécessairement un examen ou un traitement médical et lorsqu'il n'avait jamais donné lieu à un tel examen avant la conclusion du contrat, l'art. 9 LCA n'était pas applicable si une intervention médicale se révélait après coup nécessaire. En revanche, lorsqu'une malposition dentaire avait exigé un examen médical quelques années avant la conclusion du contrat, le sinistre était survenu avant celle-ci (CREC I 24 février 2010/92 c. 4b, qui se réfère à Pdt TAss 23 avril 2004 précité). b) En l'espèce, en 2003, alors que l'intimée était âgée de 10 ans, le mauvais positionnement de ses dents a fait l'objet d'un constat médical lors d'un examen. Dès cette date, on doit admettre que l'atteinte à la santé exigeait à tout le moins un examen. En effet, les avis médicaux concordent sur l'existence de l'affection dès 2003, même si une détérioration n'a été constatée qu'à la fin 2006. Dès lors, le sinistre est survenu antérieurement à la conclusion du contrat d'assurance maladie complémentaire, le 12 octobre 2006. La nullité du contrat doit être constatée en application de l'art. 9 LCA. Il n'est pas nécessaire de fixer si</w:t>
      </w:r>
    </w:p>
    <w:p>
      <w:r>
        <w:t>- 10 - la nullité du contrat est totale ou si seule la partie des soins orthodontiques – objet des conclusions de l'intimée - est touchée par la nullité (sur l'application discutée de l'art. 20 al. 2 CO , cf. notamment Nef, op. cit., n. 23 ad art. 9 LCA et les references). La restitution d'éventuelles primes n'est en effet pas litigieuse, le montant de celles-ci n'étant au surplus pas connu par des éléments du dossier établissant les paiements intervenus. c) La jurisprudence publiée aux ATF 127 III 21 a été critiquée en matière d'assurance maladie complémentaire en ce qu'elle était excessivement sévère pour un preneur d'assurance qui avait déclaré son affection à l'assureur et dont le contrat a été conclu alors que la pathologie était latente (Hausheer / Jaun, in RJB 2003 p. 67 ss; Schaer, in HAVE/REAS 4/2002, pp. 295 ss; Brulhart, op. cit., n. 427 p. 189). En l'occurrence toutefois, la situation est différente dans la mesure où l'affection n'a pas été déclarée dans le questionnaire écrit adressé à l'assureur. La question de la réticence peut encore être examinée par surabondance, même si l'on ne se ralliait pas à la jurisprudence précitée.</w:t>
      </w:r>
    </w:p>
    <w:p>
      <w:r>
        <w:rPr>
          <w:b/>
        </w:rPr>
        <w:t>E. 4</w:t>
      </w:r>
    </w:p>
    <w:p>
      <w:r>
        <w:t>a) Le contrat en cause a été conclu le 12 octobre 2006, si bien que l'art. 6 LCA dans sa teneur dès le 1er janvier 2006 [modification par la loi fédérale du 17 décembre 2004 entrée en vigueur le 1er janvier 2006 (RO 2005 5250)] est applicable. Cette disposition prévoit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(al. 1). Le droit de résiliation s’éteint quatre semaines après que l’assureur a eu connaissance de la réticence (al. 2). Si le contrat prend fin par résiliation</w:t>
      </w:r>
    </w:p>
    <w:p>
      <w:r>
        <w:t>- 11 -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Selon l'art. 4 LCA, le proposant doit déclarer par écrit à l'assureur, suivant un questionnaire ou en réponse à toute autre question écrite,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Que l'assureur ait posé une question précise permet seulement de présumer, selon l'art. 4 al. 3 LCA, que le fait était important; cette présomption peut cependant être renversée par l'assuré en prouvant que, s'il avait répondu de manière exacte et complète, l'assureur aurait néanmoins conclu le contrat aux mêmes conditions (ATF 118 II 333 c. 2; ATF 99 II 67 c. 4e; ATF 92 II 342 c. 5). En l'espèce, contrairement à ce qu'a retenu le premier juge (jgt pp. 8-9), il faut admettre que l'assureur a posé une question écrite, précise et non équivoque, en demandant si, au cours des cinq dernières années, l'intimée avait suivi un traitement ou un contrôle ou un examen ambulatoire ou stationnaire dispensé par un médecin (question 3 du formulaire) et si celle-ci était atteinte d'une invalidité ou d'une infirmité congénitale notamment au niveau des dents ou de la mâchoire (question 4 du formulaire). Les questions relatives à l'existence d'un contrôle médical au cours des cinq années précédentes et à un problème au niveau de la cavité buccale montrent que ces éléments étaient importants pour permettre à l'assureur d'examiner s'il acceptait de conclure le contrat, le cas échéant en formulant une réserve.</w:t>
      </w:r>
    </w:p>
    <w:p>
      <w:r>
        <w:t>- 12 - c) Il faut ensuite se demander si le proposant "connaissait ou devait connaître" la vérité (cf. art. 4 al. 1 LCA et art. 6 LCA). Le proposant doit se demander sérieusement s'il existe un fait qui tombe sous le coup des questions de l'assureur; il doit déclarer, outre les faits qui lui sont connus sans autre réflexion, ceux qui ne peuvent pas lui échapper s'il réfléchit sérieusement aux questions posées (ATF 118 II 333 c. 2b; ATF 116 II 338 c. 1c). Il n'est pas nécessaire, pour qu'il y ait réticence permettant de se départir du contrat, que le preneur d'assurance ait commis une faute (ATF 109 II 60 c. 3c). Dès lors que l'assureur posait des questions au sujet d'un contrôle médical antérieur sur cinq ans et d'un problème relatif à la dentition et à la mâchoire, le proposant devait être attentif et déployer la diligence objectivement commandée par les circonstances pour l'élucider. Les deux questions étaient simples à appréhender et ne portaient pas sur un défaut ou un trouble de la santé qui aurait été plus ou moins difficile à déceler. Le premier juge a justifié l'absence d'indication faite par le représentant légal à la question 3 de l'assureur en invoquant notamment une "querelle d'experts" sur la nécessité ou la probabilité d'un traitement à venir en 2003 (jgt pp. 9-10). Ce point n'est pas décisif : la question 3 se rapporte à des consultations médicales et n'a rien à voir avec le risque d'un traitement (supplémentaire) à venir encore. Le premier juge a encore retenu que les consultations ont été par trois fois liées à des traitements de caries, soit d'interventions bénignes qui pouvaient de bonne foi ne pas être déclarées. En réalité, en mai 2006, soit l'année même de la proposition d'assurance complémentaire, il s'agissait d'une extraction de dent de lait qui ne peut constituer un cas bénin isolé, même dans l'esprit du représentant légal de l'enfant informé en 2003 d'un manque de place l'expliquant. Il incombait au preneur d'assurance de répondre de manière affirmative au sujet des contrôles subis et consultations suivies chez le Dr D.2________ entre 2001 et 2006 en relation avec ses problèmes dentaires. Comme le souligne la</w:t>
      </w:r>
    </w:p>
    <w:p>
      <w:r>
        <w:t>- 13 - recourante (mémoire ch. 3.3 p. 5), il appartient ensuite à l'assureur de mesurer la portée des déclarations du preneur d'assurance et de pondérer seul la gravité des affections ayant nécessité le recours à un médecin- dentiste. Ces circonstances excluent que même une interprétation restrictive de la réticence s'oppose à l'application de l'art. 6 LCA. Même si l'on ne retenait pas l'art. 9 LCA, la recourante s'est départie valablement du contrat selon l'art. 6 LCA. Du moins, l'absence de déclaration de l'affection dans les questions écrites liées à la proposition d'assurance ne rend plus critiquable l'application en l'espèce de l'art. 9 LCA, conformément à la jurisprudence fédérale (ATF 127 III 21).</w:t>
      </w:r>
    </w:p>
    <w:p>
      <w:r>
        <w:rPr>
          <w:b/>
        </w:rPr>
        <w:t>E. 5</w:t>
      </w:r>
    </w:p>
    <w:p>
      <w:r>
        <w:t>L'arrêt doit être rendu sans frais, tant en première qu'en deuxième instance (art. 235a TFJC [tarif des frais judiciaires en matière civile; RSV 270.11.5] et 85 al. 3 LSA [Loi fédérale du 17 décembre 2004 sur la surveillance des entreprises d’assurance (Loi sur la surveillance des assurances); RS 961.01] – qui a remplacé l'art. 47 al. 3 LSA de 1978). Il n'y a pas lieu d'allouer à la recourante des dépens, tant en première qu'en deuxième instance, cette partie ayant procédé sans l'assistance d'un mandataire professionnel.</w:t>
      </w:r>
    </w:p>
    <w:p>
      <w:r>
        <w:rPr>
          <w:b/>
        </w:rPr>
        <w:t>E. 6</w:t>
      </w:r>
    </w:p>
    <w:p>
      <w:r>
        <w:t>En définitive, le recours doit être admis et le dispositif du jugement réformé en ce sens que les conclusions de la demanderesse, preneur d'assurance représentée par son père, sont rejetées et celles libératoires de l'assureur sont admises (I), le jugement étant rendu sans frais ni dépens (II). Les autres chiffres du dispositif du jugement de première instance, devenus inutiles, n'ont plus d'objet et sont supprimés. L'arrêt est rendu sans frais ni dépens.</w:t>
      </w:r>
    </w:p>
    <w:p>
      <w:r>
        <w:t>- 14 - Par ces motifs, la Chambre des recours du Tribunal cantonal, statuant en audience publique, prononce : I. Le recours est admis. II. Le jugement est réformé comme il suit : I. Les conclusions de la demanderesse A.________, représentée par [...], sont rejetées et celles libératoires de la défenderesse assurance X.________ SA sont admises. II. Le jugement est rendu sans frais ni dépens. III. L'arrêt est rendu sans frais ni dépens. IV. L'arrêt motivé est exécutoire. Le président : Le greffier :</w:t>
      </w:r>
    </w:p>
    <w:p>
      <w:r>
        <w:t>- 15 - Du 25 août 2010 Le dispositif de l'arrêt qui précède est communiqué par écrit aux intéressés. Le greffier : Du L'arrêt qui précède, dont la rédaction a été approuvée à huis clos, est notifié en expédition complète, par l'envoi de photocopies à : - assurance X.________ SA, - Me Jean-Michel Dolivo (pour A.________). La Chambre des recours considère que la valeur litigieuse est de 4'350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Mme la Juge unique de la Cour des assurances sociales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