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ZL14.000993 vom 8. April 2014</w:t>
      </w:r>
    </w:p>
    <w:p>
      <w:r>
        <w:t>VD Tribunal cantonal, 2014-04-08, FR</w:t>
      </w:r>
    </w:p>
    <w:p>
      <w:r>
        <w:rPr>
          <w:b/>
        </w:rPr>
        <w:t xml:space="preserve">Quelle: </w:t>
      </w:r>
      <w:r>
        <w:t>https://mcp.opencaselaw.ch/entscheid/vd_gerichte_ZL14.000993</w:t>
      </w:r>
    </w:p>
    <w:p>
      <w:r>
        <w:t>FR: VD_GERICHTE ZL14.000993 du 8 avril 2014</w:t>
      </w:r>
    </w:p>
    <w:p>
      <w:r>
        <w:t>IT: VD_GERICHTE ZL14.000993 del 8 aprile 2014</w:t>
      </w:r>
    </w:p>
    <w:p>
      <w:pPr>
        <w:pStyle w:val="Heading2"/>
      </w:pPr>
      <w:r>
        <w:t>Erwägungen</w:t>
      </w:r>
    </w:p>
    <w:p>
      <w:r>
        <w:rPr>
          <w:b/>
        </w:rPr>
        <w:t>E. 1</w:t>
      </w:r>
    </w:p>
    <w:p>
      <w:r>
        <w:t>a) Le présent recours est soumis aux règles de la procédure de droit administratif, selon les art. 92 ss LPA-VD (loi cantonale vaudoise du 28 octobre 2008 sur la procédure administrative ; RSV 173.36), en relation avec l’art. 28 al. 1 LVLAMal (loi d'application vaudoise de la loi fédérale sur l'assurance-maladie du 25 juin 1996 ; RSV 832.01). Au regard de la valeur litigieuse inférieure à 30'000 fr. (le présent litige portant sur le droit éventuel au subside pour l’année 2013), il appartient à un membre du tribunal cantonal de statuer en tant que juge unique (art. 94 al. 1 let. a LPA-VD). b) Le recours a été déposé dans les trente jours dès la notification de la décision litigieuse (art. 95 LPA-VD) et respecte les autres conditions formelles de recevabilité. Il convient donc d’entrer en matière.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w:t>
      </w:r>
    </w:p>
    <w:p>
      <w:r>
        <w:t>- 6 - laquelle détermine l'objet de la contestation (cf. ATF 134 V 418 consid. 5.2.1 et ATF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b) La question litigieuse est de savoir si l’intimé était fondé, par sa décision sur opposition du 18 décembre 2013, à nier le droit aux subsides d’assurance-maladie à la recourante, son époux et leurs deux enfants.</w:t>
      </w:r>
    </w:p>
    <w:p>
      <w:r>
        <w:rPr>
          <w:b/>
        </w:rPr>
        <w:t>E. 3</w:t>
      </w:r>
    </w:p>
    <w:p>
      <w:r>
        <w:t>a) Selon l’art. 65 al. 1 LAMal (loi fédérale du 18 mars 1994 sur l’assurance-maladie ;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(art. 65 al. 3 LAMal). b) Ces principes ont été repris dans la LVLAMal. Aux termes de l’art. 9 LVLAMal, les assurés de condition économique modeste assujettis à la présente loi au sens de l'art. 2 peuvent bénéficier d'un subside pour le paiement de tout ou partie de leurs primes de l'assurance obligatoire des soins (al. 1). Sont considérés comme assurés de condition économique modeste, les personnes dont le revenu est égal ou inférieur au revenu déterminant calculé conformément aux articles 11 et 12 (al. 2). En revanche, n’est pas considérée comme étant de condition économique modeste, toute personne disposant de ressources financières insuffisantes en raison d’un choix délibéré de sa part (art. 9 al. 3 LVLAMal). La notion d'assuré de condition économique modeste, figurant à l'art. 9 LVLAMal, a été précisée dans une disposition réglementaire,</w:t>
      </w:r>
    </w:p>
    <w:p>
      <w:r>
        <w:t>- 7 - l’art. 17 RLVLAMal (Règlement concernant la loi du 25 juin 1996 d'application vaudoise de la loi fédérale sur l'assurance-maladie du 18 septembre 1996 ; RSV 832.01.1), dont la légalité n’est pas contestée. Selon l’alinéa 1er let. a à c de cet article, n’est notamment pas considérée comme étant de condition économique modeste la personne qui, par choix personnel : - a contracté des dettes en vue d’investissement, a utilisé une partie de son patrimoine pour se constituer une rente viagère ou s’est dessaisie de tout ou partie de ses biens sans contrepartie équitable (1ère hypothèse) ; - est au bénéfice de prestations d’entretien accordées par une communauté religieuse ou apparentée (2ème hypothèse) ; - a intentionnellement renoncé, en fonction de conditions librement choisies, à mettre toute sa capacité de gain à contribution (3ème hypothèse). Selon une jurisprudence constante de la Cour de céans et précédemment du Tribunal des assurances du canton de Vaud (ci-après : TASS), rendue déjà sous l’empire de l'ancienne LAMV (loi du 3 mars 1992 sur l’assurance-maladie dans le canton de Vaud), en vigueur jusqu’au 31 décembre 1996, la notion restrictive d’assuré de condition économique modeste visée par la LVLAMaI permet donc, dans certains cas, à l’Organe cantonal de contrôle de l’assurance-maladie et accidents (OCC, actuellement : OVAM) d’inclure ou d’exclure du calcul du revenu déterminant certains éléments respectivement non pris en compte ou pris en compte par le fisc (cf. aussi arrêt du Tribunal fédéral [TF] 2P.249/2002 du 2 mai 2003, consid. 2).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w:t>
      </w:r>
    </w:p>
    <w:p>
      <w:r>
        <w:t>- 8 - exemple d’investissement, d’amélioration de leur habitation, etc. » (arrêts TASS LAVAM 49/03 – 22/2004 du 22 juin 2004, consid. 4b/aa ; CASSO LAVAM 1/11 – 5/2011 du 8 mars 2011, consid. 4). c) Le 1er janvier 2013 est entrée en vigueur la LHPS (loi du 9 novembre 2010 sur l'harmonisation et la coordination de l'octroi des prestations sociales et d'aide à la formation et au logement cantonales vaudoises ; RSV 850.03). A teneur de son art. 1 al. 1, ladite loi a pour but d'harmoniser les éléments pris en considération dans le calcul du revenu déterminant le droit aux prestations sociales et d'aide à la formation et au logement cantonales, soumises à condition de revenu et définies à son art. 2. Sont notamment visés les subsides aux primes de l'assurance-maladie (art. 2 al. 1 let. a, premier tiret LHPS). Cette loi s'applique à toutes les demandes de prestations pendantes dès son entrée en vigueur (art. 17 LHPS). Compte tenu de la date de la décision sur opposition litigieuse, la LHPS s'applique en l'espèce ainsi que les art. 11 al. 1 et 12 al. 2 LVLAMal dans leur teneur au 1er janvier 2013. En vertu de l'art. 6 al. 1 LHPS, le revenu déterminant unifié sert de base pour le calcul du droit à une prestation au sens de la ladite loi. Selon l'art. 6 al. 2 LHPS, ce revenu est constitué comme suit : « a. du revenu net au sens de la loi sur les impôts directs cantonaux (ci-après : LI), majoré des montants affectés aux formes reconnues de prévoyance individuelle liée (3e pilier A), ainsi que du montant net dépassant les déductions forfaitaires pour frais d'entretien d'immeubles et investissements destinés à économiser l'énergie et à ménager l'environnement ; b. d'un quinzième de la fortune imposable au sens de la LI. » Concernant la période fiscale de référence pour déterminer le revenu déterminant unifié, l'art. 8 al. 1 LHPS précise que doit être prise en compte la période pour laquelle la décision de taxation définitive la plus</w:t>
      </w:r>
    </w:p>
    <w:p>
      <w:r>
        <w:t>- 9 - récente est disponible. Pour la période de subventionnement 2013, la période fiscale prise en compte dans le calcul du revenu déterminant est celle faisant l’objet de la décision de taxation définitive la plus récente connue au 30 septembre 2012 (art. 4 al. 1 de l’arrêté concernant les subsides aux primes de l’assurance-maladie obligatoire en 2013 du 19 septembre 2012, RSV 832.00).</w:t>
      </w:r>
    </w:p>
    <w:p>
      <w:r>
        <w:rPr>
          <w:b/>
        </w:rPr>
        <w:t>E. 4</w:t>
      </w:r>
    </w:p>
    <w:p>
      <w:r>
        <w:t>La recourante allègue être mère au foyer. Elle explique que son époux est sans travail, malgré ses recherches, et que la famille s’est consacrée durant les années 2010, 2011 et début 2012 à la réfection de sa maison. Ainsi que l'OVAM le relève, avec pertinence, la recourante et son époux ne font pas état d'empêchements, tels que l'âge, la maladie ou l'invalidité, qui rendraient impossible l'exercice d'une activité à plein temps. A l'appui de leurs allégations, ils ne produisent en particulier aucun document attestant une éventuelle inscription auprès des organismes de l'assurance-chômage, respectivement ne produisent aucune pièce qui tendraient à faire état d’une incapacité de travail valablement établie. Au demeurant, les recherches d’emploi au dossier sont anciennes, vu qu’elles portent sur les années 2005 et 2006. Ce n’est qu’en réplique qu’une copie de deux courriels ayant trait à des recherches d’emploi plus récentes a été produite. Or on ne peut déduire de ces deux seules recherches que le recourant, respectivement son épouse, recherchent activement une activité lucrative. Il apparaît bien plutôt qu’ils demeurent sans activité lucrative par choix, l’absence de revenu suffisant pour le paiement des primes d’assurance-maladie obligatoire résultant de la renonciation, de leur part, à la mise à contribution de leur capacité de gain. C’est ainsi à raison que l’intimé retient qu'il n'appartient pas à la collectivité, par le truchement de l'aide pour le paiement des cotisations d'assurance- maladie aux personnes de condition économique modeste, de supporter les conséquences du choix de la recourante et son époux, pour des raisons qui leur sont propres, de ne pas mettre pleinement en valeur leur capacité de gain.</w:t>
      </w:r>
    </w:p>
    <w:p>
      <w:r>
        <w:t>- 10 - Il s'ensuit qu’ils n’ont pas droit à l'octroi du subside pour l'année 2013. Partant, le recours doit être rejeté et la décision sur opposition rendue par l'OVAM confirmée.</w:t>
      </w:r>
    </w:p>
    <w:p>
      <w:r>
        <w:rPr>
          <w:b/>
        </w:rPr>
        <w:t>E. 5</w:t>
      </w:r>
    </w:p>
    <w:p>
      <w:r>
        <w:t>Il n’y a pas lieu de percevoir de frais de justice ni d’allouer de dépens (art. 91 et 99 LPA-VD). Par ces motifs, la juge unique p r o n o n c e : I. Le recours est rejeté. II. La décision sur opposition du 18 décembre 2013 de l’Office vaudois de l’assurance-maladie est confirmée. III. Il n’est pas perçu de frais ni octroyé de dépens. La juge unique : La greffière :</w:t>
      </w:r>
    </w:p>
    <w:p>
      <w:r>
        <w:t>- 11 - Du L'arrêt qui précède est notifié à : - P. N.________,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