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ZL12.024379 vom 12. Februar 2013</w:t>
      </w:r>
    </w:p>
    <w:p>
      <w:r>
        <w:t>VD Tribunal cantonal, 2013-02-12, FR</w:t>
      </w:r>
    </w:p>
    <w:p>
      <w:r>
        <w:rPr>
          <w:b/>
        </w:rPr>
        <w:t xml:space="preserve">Quelle: </w:t>
      </w:r>
      <w:r>
        <w:t>https://mcp.opencaselaw.ch/entscheid/vd_gerichte_ZL12.024379</w:t>
      </w:r>
    </w:p>
    <w:p>
      <w:r>
        <w:t>FR: VD_GERICHTE ZL12.024379 du 12 février 2013</w:t>
      </w:r>
    </w:p>
    <w:p>
      <w:r>
        <w:t>IT: VD_GERICHTE ZL12.024379 del 12 febbraio 2013</w:t>
      </w:r>
    </w:p>
    <w:p>
      <w:pPr>
        <w:pStyle w:val="Heading2"/>
      </w:pPr>
      <w:r>
        <w:t>Erwägungen</w:t>
      </w:r>
    </w:p>
    <w:p>
      <w:r>
        <w:rPr>
          <w:b/>
        </w:rPr>
        <w:t>E. 1</w:t>
      </w:r>
    </w:p>
    <w:p>
      <w:r>
        <w:t>a) Selon les art. 92 ss LPA-VD (loi cantonale vaudoise du 28 octobre 2008 sur la procédure administrative, RSV 173.36), en relation</w:t>
      </w:r>
    </w:p>
    <w:p>
      <w:r>
        <w:t>- 5 - avec l'art. 28 al. 1 LVLAMal (loi d'application vaudoise du 25 juin 1996 de la loi fédérale sur l'assurance-maladie, RSV 821.01), le présent recours est soumis aux règles de la procédure de recours de droit administratif. b) Le recours a été déposé dans les trente jours dès la notification de la décision litigieuse (art. 95 LPA-VD) et respecte les autres conditions formelles de recevabilité. Il convient donc d’entrer en matière. Au regard de la valeur litigieuse, inférieure à 30'000 fr., il appartient à un membre du Tribunal cantonal de statuer en tant que juge unique (art. 94 al. 1 let. a LPA-VD).</w:t>
      </w:r>
    </w:p>
    <w:p>
      <w:r>
        <w:rPr>
          <w:b/>
        </w:rPr>
        <w:t>E. 2</w:t>
      </w:r>
    </w:p>
    <w:p>
      <w:r>
        <w:t>La recourante requiert un subside pour le paiement de ses primes d'assurance-maladie pour le mois de mars 2012. L'intimé le lui a refusé au motif qu'elle n'avait pas de domicile dans le canton de Vaud durant cette période. Le litige porte dès lors sur le point de savoir si le domicile de la recourante se trouvait dans le canton de Vaud, en particulier en mars 2012, étant rappelé que cette dernière a renoncé à maintenir sa demande pour le mois de février 2012, ayant admis qu'elle résidait alors encore au Kosovo.</w:t>
      </w:r>
    </w:p>
    <w:p>
      <w:r>
        <w:rPr>
          <w:b/>
        </w:rPr>
        <w:t>E. 3</w:t>
      </w:r>
    </w:p>
    <w:p>
      <w:r>
        <w:t>a) En l'absence d'une convention de sécurité sociale entre la Suisse et le Kosovo - étant rappelé que la Convention du 8 juin 1962 entre la Confédération suisse et la République populaire fédérative de Yougoslavie relative aux assurances sociales a été dénoncée à l'égard du Kosovo avec effet au 1er avril 2010 (RO 2010 1203) - le droit suisse est seul applicable en l'espèce. b) Selon l'art. 65 al. 1 LAMal (loi fédérale du 18 mars 1994 sur l'assurance-maladie; RS 832.10) - dans sa version en vigueur à compter du 1er janvier 2012, applicable au vu du dépôt de la demande de subside en février 2012 (cf. ATF 130 V 445, consid. 1; ATF 127 V 466, consid. 1) - les cantons accordent une réduction de primes aux assurés de condition économique modeste. Ils versent directement le montant correspondant aux assureurs concernés. Le Conseil fédéral peut faire bénéficier de cette</w:t>
      </w:r>
    </w:p>
    <w:p>
      <w:r>
        <w:t>- 6 - réduction les personnes tenues de s'assurer qui n'ont pas de domicile en Suisse, mais qui y séjournent de façon prolongée. Quant à l'alinéa 3 de l'art. 65 LAMal, il prévoit que 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droits n'aient pas à satisfaire à l'avance à leur obligation de payer les primes. c) Selon l'art. 9 LVLAMal (loi d'application vaudoise de la loi fédérale sur l'assurance-maladie; RSVD 832.01), les assurés de condition économique modeste assujettis à la LVLAMal au sens de son art. 2, peuvent bénéficier d'un subside pour le paiement de tout ou partie de leurs primes de l'assurance obligatoire des soins. Selon l'art. 2 LVLAMal, sont soumis à cette loi, en conformité à la LAMal, les personnes domiciliées dans le canton et les ressortissants étrangers assujettis à l'assurance obligatoire des soins ainsi que les assureurs et les fournisseurs de prestations. L'art. 26 al. 1 RLVLAMal (règlement du 18 septembre 1996, concernant la loi du 25 juin 1996 d'application vaudoise de la loi fédérale sur l'assurance-maladie; RSVD 832.01.1) précise que le droit au subside prend fin le dernier jour du mois au cours duquel les conditions d'octroi cessent d'être remplies, mais au plus tard à la fin de la période de subside. L'ayant droit quittant le canton, que son départ ait été annoncé ou non au contrôle des habitants, perd tout droit au subside (art. 26 al. 2 RLVLAMal). Ainsi, dans le canton de Vaud, le droit au subside pour le paiement des primes d'assurance-maladie ne dépend pas de l'enregistrement auprès du contrôle des habitants mais du domicile dans le canton (art. 2 LVLAMal et art. 26 al. 2 RLVLAMal; cf. TF 2C_478/2008 du 23 septembre 2008, consid. 4.5).</w:t>
      </w:r>
    </w:p>
    <w:p>
      <w:r>
        <w:t>- 7 - d) En droit des assurances sociales, la notion de domicile est régie par l'art. 13 al. 1 LPGA, lequel renvoie aux art. 23 à 26 CC (Code civil suisse du 10 décembre 1907; RS 210). En vertu de l'art. 23 al. 1 CC, le domicile d'une personne est le lieu où elle réside avec l'intention de s'y établir. La notion de domicile comporte donc deux éléments: l'un objectif, la résidence, soit un séjour d'une certaine durée dans un endroit donné et la création en ce lieu de rapports assez étroits; l'autre subjectif qui est l'intention de résider en ce lieu,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TF 9C_345/2010 du 16 février 2011, consid. 3.2).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et la référence citée; TF 9C_345/2010 du 16 février 2011, consid. 3.2). Lorsqu'une personne séjourne en deux endroits différents, il faut tenir compte de l'ensemble de ses conditions de vie, le centre de son existence étant le lieu, l'endroit ou le pays, où se focalise un maximum d'éléments concernant sa vie personnelle, sociale et professionnelle, de sorte que l'intensité des liens avec ce centre l'emporte sur les liens existant avec d'autres endroits ou pays (ATF 125 III 100, consid. 3; TF 9C_345/2010 du 16 février 2011, consid. 3.2).</w:t>
      </w:r>
    </w:p>
    <w:p>
      <w:r>
        <w:t>- 8 -</w:t>
      </w:r>
    </w:p>
    <w:p>
      <w:r>
        <w:rPr>
          <w:b/>
        </w:rPr>
        <w:t>E. 4</w:t>
      </w:r>
    </w:p>
    <w:p>
      <w:r>
        <w:t>a) En l'espèce, les éléments du dossier indiquent que la recourante a eu, durant l'année 2012, des liens plus étroits avec le Kosovo, qu'avec le canton de Vaud. En effet, elle a travaillé et séjourné de manière quasiment ininterrompue au Kosovo, depuis le mois de février 2011, jusqu'à la fin de l'année 2012. Lors de son court séjour en Suisse en mars 2012, à la fin de son premier contrat de travail au Kosovo, la recourante a très rapidement conclu un nouveau contrat avec une organisation non gouvernementale pour continuer de travailler dans ce même pays; ceci laisse penser qu'elle avait gardé des contacts sur place et qu'elle avait déjà commencé des recherches d'emploi au Kosovo, avant de revenir en Suisse, au mois de mars. Le fait qu'elle ait prolongé son séjour au Kosovo à la fin de son premier contrat de travail montre qu'elle entretenait, selon toute vraisemblance, également des liens d'une autre nature que professionnelle en ce lieu. Par ailleurs, on observe que la recourante avait déjà acheté son billet d'avion à destination du Kosovo, avant le 16 février 2012 (cf. courriel de la compagnie aérienne [...]), soit avant même son retour en Suisse le 3 mars 2012. Ces éléments achèvent de convaincre le Tribunal que la recourante n'avait pas l'intention de revenir s'établir en Suisse au mois de mars 2012, mais bien plutôt que le centre de ses intérêts personnels et professionnels étaient au Kosovo et qu'elle souhaitait y prolonger son séjour. Au regard de ce qui précède, il y a lieu de retenir que la recourante a non seulement effectué un séjour d'une certaine durée au Kosovo entre 2011 et 2012, et créé en ce lieu des rapports étroits au niveau professionnel en particulier, mais a également eu, de manière reconnaissable pour les tiers, l'intention de se fixer au lieu de sa résidence. Il convient dès lors retenir qu'en mars 2012, elle n'avait pas son domicile dans le canton de Vaud, le centre de ses intérêts étant au Kosovo depuis une date antérieure. En raison de l'absence de domicile en Suisse, la recourante n'a pas le droit à un subside pour ses primes d'assurance-maladie pour le mois de mars 2012.</w:t>
      </w:r>
    </w:p>
    <w:p>
      <w:r>
        <w:t>- 9 - b) Au demeurant, on relèvera qu'il n'est pas nécessaire de trancher la question – contestée par les parties jusqu'au rendu de la décision sur opposition - de savoir si la recourante est de condition économique modeste. En effet, la loi soumet le droit au subside à deux conditions cumulatives, à savoir le domicile dans le canton de Vaud et le fait d'être de condition économique modeste. Dès lors qu'en l'espèce, la première condition n'est pas réalisée, il n'y a pas lieu d'examiner la seconde.</w:t>
      </w:r>
    </w:p>
    <w:p>
      <w:r>
        <w:rPr>
          <w:b/>
        </w:rPr>
        <w:t>E. 5</w:t>
      </w:r>
    </w:p>
    <w:p>
      <w:r>
        <w:t>Vu ce qui précède, la décision sur opposition du 25 mai 2012 de l'OVAM est fondée et doit être confirmée. Le recours doit ainsi être rejeté. Il n’y a pas lieu de percevoir de frais de justice (art. 50 al. 1, 91 et 99 LPA-VD), ni d’allouer de dépens (art. 55 al. 1, 91 et 99 LPA-VD). Par ces motifs, la juge unique p r o n o n c e : I. Le recours est rejeté. II. La décision sur opposition rendue le 25 mai 2012 par l'Office vaudois de l'assurance-maladie est confirmée. III. Il n'est pas perçu de frais de justice, ni alloué de dépens. La juge unique : La greffière :</w:t>
      </w:r>
    </w:p>
    <w:p>
      <w:r>
        <w:t>- 10 - Du L'arrêt qui précède est notifié à : - T.________,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