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ZJ23.004471 vom 7. April 2025</w:t>
      </w:r>
    </w:p>
    <w:p>
      <w:r>
        <w:t>VD Tribunal cantonal, 2025-04-07, FR</w:t>
      </w:r>
    </w:p>
    <w:p>
      <w:r>
        <w:rPr>
          <w:b/>
        </w:rPr>
        <w:t xml:space="preserve">Quelle: </w:t>
      </w:r>
      <w:r>
        <w:t>https://mcp.opencaselaw.ch/entscheid/vd_gerichte_ZJ23.004471</w:t>
      </w:r>
    </w:p>
    <w:p>
      <w:r>
        <w:t>FR: VD_GERICHTE ZJ23.004471 du 7 avril 2025</w:t>
      </w:r>
    </w:p>
    <w:p>
      <w:r>
        <w:t>IT: VD_GERICHTE ZJ23.004471 del 7 aprile 2025</w:t>
      </w:r>
    </w:p>
    <w:p>
      <w:pPr>
        <w:pStyle w:val="Heading2"/>
      </w:pPr>
      <w:r>
        <w:t>Erwägungen</w:t>
      </w:r>
    </w:p>
    <w:p>
      <w:r>
        <w:rPr>
          <w:b/>
        </w:rPr>
        <w:t>E. 2</w:t>
      </w:r>
    </w:p>
    <w:p>
      <w:r>
        <w:t>Le présent jugement a pour objet, selon le renvoi de la juridiction civile, le partage par moitié des avoirs de prévoyance professionnelle accumulés par les ex-époux V.________ durant leur mariage.</w:t>
      </w:r>
    </w:p>
    <w:p>
      <w:r>
        <w:t>- 5 -</w:t>
      </w:r>
    </w:p>
    <w:p>
      <w:r>
        <w:rPr>
          <w:b/>
        </w:rPr>
        <w:t>E. 3</w:t>
      </w:r>
    </w:p>
    <w:p>
      <w:r>
        <w:t>a) Le divorce des parties a été prononcé après l’entrée en vigueur le 1er janvier 2017 de la modification législative du droit du partage de la prévoyance professionnelle en cas de divorce, de sorte qu’il y a lieu de procéder au partage des avoirs de la prévoyance professionnelle au regard du nouveau droit (art. 7d du titre final du CC [code civil suisse du 10 décembre 1907 ; RS 210]). b)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(ATF 145 III 169 consid. 3.1). c) L’art. 123 CC prévoit que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d) Aux termes de l'art. 124 al. 1 CC, si, au moment de l'introduction de la procédure de divorce, l'un des époux perçoit une rente d'invalidité et qu'il n'a pas encore atteint l'âge réglementaire de la retraite, le montant auquel il aurait droit en vertu de l'art. 2 al. 1ter LFLP (loi du 17 décembre 1993 sur le libre passage dans la prévoyance professionnelle vieillesse, survivants et invalidité ; RS 831.42) en cas de suppression de sa rente est considéré comme prestation de sortie. L'art. 124 al. 2 CC prévoit que les dispositions relatives au partage des prestations de sortie s'appliquent par analogie. L’art. 124 al. 3 CC, en relation avec l’art. 26a OPP2 (ordonnance du 18 avril 1984 sur la</w:t>
      </w:r>
    </w:p>
    <w:p>
      <w:r>
        <w:t>- 6 - prévoyance professionnelle vieillesse, survivants et invalidité ; RS 831.441.1), réserve toutefois la situation dans laquelle le montant visé à l’al. 1 ne peut pas être utilisé pour le partage parce que la rente d’invalidité est réduite pour cause de surindemnisation en raison d’un concours de prestations de l’assurance-accidents ou de l’assurance militaire. Dans un tel cas, une indemnité équitable est allouée conformément à l'art. 124e al. 1 CC (ATF 146 V 95 consid. 4.3.5). Est déterminant pour l'application de l'art. 124 CC le point de savoir si, avant l'introduction de la procédure de divorce, un droit à une rente d'invalidité de la prévoyance professionnelle est né, c'est-à-dire le risque de prévoyance « invalidité » est réalisé. Le fait qu'aucune rente n'est (encore) versée n'exclut pas l'application de l'art. 124 CC (ATF 146 V 95 consid. 4.4). Lorsqu’un droit à une rente d’invalidité avec effet rétroactif à un moment antérieur au dépôt de la demande de divorce ne peut être exclu, la procédure doit en règle générale être suspendue jusqu’à ce que la question soit tranchée (TF 9C_391/2019 du 23 mars 2020 consid. 5.1 non publié in ATF 146 V 95). e)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(art. 25a al. 1 LFLP). Il lui appartient alors de déterminer les prestations de sortie à partager et d’en fixer le montant conformément à l’art. 22 LFLP. f) L’art. 22 LFLP dispose qu’en cas de divorce, les prestations de sortie et les parts de rente sont partagées conformément aux art. 122 à 124a CC et aux art. 280 et 281 CPC (code de procédure civile du 19 décembre 2008 ; RS 272).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w:t>
      </w:r>
    </w:p>
    <w:p>
      <w:r>
        <w:t>- 7 -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g) Les prétentions réciproques des époux à des prestations de sortie ou à des parts de rente sont compensées entre elles (art. 124c al. 1, première phrase, CC).</w:t>
      </w:r>
    </w:p>
    <w:p>
      <w:r>
        <w:rPr>
          <w:b/>
        </w:rPr>
        <w:t>E. 4</w:t>
      </w:r>
    </w:p>
    <w:p>
      <w:r>
        <w:t>a) En l’espèce, A.V.________ a ouvert action en divorce le 26 novembre 2020. C’est donc à cette date qu’il convient de partager les avoirs de prévoyance. Dans la mesure où celui-ci avait sollicité des prestations de l’assurance-invalidité, la présente procédure a été suspendue jusqu’à droit connu sur le sort de cette demande puisque l’octroi rétroactif d’une rente d’invalidité pouvait potentiellement influencer les avoirs de sortie à prendre en compte pour le partage dans l’hypothèse où le droit à la rente était né avant l’introduction de la procédure de divorce, voire rendre ce partage impossible. Par décisions des 8 février et 24 avril 2024, l’OAI a alloué à A.V.________ une rente entière d’invalidité à partir du 1er décembre 2020. Comme l’OAI le relève dans ses décisions, le versement des prestations d’invalidité aurait déjà pu intervenir à partir d’octobre 2020, à l’échéance du délai de carence d’une année de l’art. 28 al. 1 let. b LAI (loi fédérale du 19 juin 1959 sur l’assurance-invalidité ; RS 831.20), mais tel n’a pas été possible en l’occurrence, puisque le délai de six mois à compter du dépôt de la demande de prestations, intervenue le 11 juin 2020, n’était pas encore échu à cette date. Le Tribunal fédéral a eu l’occasion de préciser qu’avec l’entrée en vigueur de la 5e révision de l’AI, le droit à des prestations d’invalidité de la prévoyance professionnelle (obligatoire) commence désormais avec la naissance du droit à une rente de l’assurance-invalidité selon l’art. 29 al. 1 LAI et non avec l’expiration de la période d’attente de l’art. 28 al. 1 let. b LAI, contrairement qui prévalait auparavant (ATF 140 V 470 consid. 3.2 et 3.3). La réalisation du risque de prévoyance en cas</w:t>
      </w:r>
    </w:p>
    <w:p>
      <w:r>
        <w:t>- 8 - d’invalidité selon les règles du premier pilier reste effective même lorsque le versement de la rente de la prévoyance professionnelle est repoussé en raison d’une situation de surindemnisation en application de l’art. 26 al. 2 LPP (loi fédérale du 25 juin 1982 sur la prévoyance professionnelle vieillesse, survivants et invalidité ; RS 831.40), cette disposition n’étant qu’une règle de coordination qui a pour but d’éviter que la personne assurée se retrouve dans une position économique plus favorable après la survenance du cas d’invalidité que si elle avait continué à être capable de travailler à plein temps (ATF 142 V 419 consid. 3.4.2). Le fait que le versement de la rente de prévoyance professionnelle soit repoussé dans le cadre de l’art. 26 al. 2 LPP n’empêche ni la survenance du cas de prévoyance au moment déterminant, ni l’application de l’art. 124 CC (ATF 146 V 95 consid. 4.4 et les références). Dans le cas d’espèce, c’est donc la date du 1er décembre 2020 qui marque la survenance du cas de prévoyance avec la naissance du droit à la rente d’invalidité. Dans la mesure où le risque d’invalidité s’est réalisé juste après l’introduction de la demande de divorce, intervenue le 26 novembre 2020, un partage des avoirs de prévoyance en application de l’art. 123 CC reste possible. b) La période déterminante pour le calcul des avoirs à partager court du 14 février 2004, date du mariage, jusqu’au 26 novembre 2020, date à laquelle la procédure de divorce a été introduite. Pendant cette période, B.V.________ a accumulé un avoir de prévoyance de 2'011 fr. 30 (2'239 fr. 25 - 227 fr. 95) auprès de Q.________ et de 719 fr. 32 auprès de la Fondation Institution supplétive LPP, lequel a été transféré en décembre 2024 à J.________. Le total des avoirs de prévoyance accumulés par l’intéressée pendant le mariage jusqu’à l’introduction de la procédure de divorce se monte ainsi à 2'730 fr. 62. De son côté, A.V.________ a accumulé durant le mariage un avoir de prévoyance de 15'706 fr. 09 (23'241 fr. 19 - 7'535 fr. 10), déposé auprès de la Fondation institution supplétive LPP. Il apparaît que l’avoir de</w:t>
      </w:r>
    </w:p>
    <w:p>
      <w:r>
        <w:t>- 9 - prévoyance dont il bénéficie auprès d’O.________ a été constitué avant le mariage et qu’il n’y a dès lors pas lieu d’en tenir compte pour le partage. Au regard de ce qui précède, le montant à partager par moitié est ainsi de 12'975 fr. 47 (15'706 fr. 09 - 2'730 fr. 62). Il en résulte qu’un montant de 6'487 fr. 74 doit être versé par la Fondation institution supplétive LPP depuis le compte de prévoyance de A.V.________ à J.________ en faveur de B.V.________.</w:t>
      </w:r>
    </w:p>
    <w:p>
      <w:r>
        <w:rPr>
          <w:b/>
        </w:rPr>
        <w:t>E. 5</w:t>
      </w:r>
    </w:p>
    <w:p>
      <w:r>
        <w:t>La prestation de libre passage à transférer à l’époux créancier porte intérêt. A défaut d’un taux supérieur prévu par le règlement de l’institution de prévoyance de l’époux débiteur, le taux de cet intérêt compensatoire correspond au taux d’intérêt minimum fixé par les art. 12 et 14 OPP2, en relation avec l’art. 15 al. 1 et 2 LPP (ATF 129 V 251 consid. 3 et 4 ; 137 V 463 consid. 7). L’intérêt compensatoire court dès le lendemain de la date du dépôt de la demande de divorce, déterminant pour le partage des avoirs de prévoyance. Un intérêt moratoire de 1 % s’y ajoute dès le 31e jour suivant l’entrée en force du jugement ordonnant le transfert du montant à partager (art. 7 OLP [ordonnance du 3 octobre 1994 sur le libre passage dans la prévoyance professionnelle vieillesse, survivants et invalidité ; RS 831.425] ; ATF 129 V 251 consid. 5).</w:t>
      </w:r>
    </w:p>
    <w:p>
      <w:r>
        <w:rPr>
          <w:b/>
        </w:rPr>
        <w:t>E. 6</w:t>
      </w:r>
    </w:p>
    <w:p>
      <w:r>
        <w:t>a) Au vu de ce qui précède, la Fondation institution supplétive LPP devra débiter du compte de A.V.________ la somme de 6'487 fr. 74, avec intérêt compensatoire d’au moins 1 % l’an depuis le 27 novembre 2020 jusqu’au 31 décembre 2023, puis d’au moins 1,25 % dès le 1er janvier 2024, et verser ce montant en faveur de B.V.________ sur le compte dont elle est titulaire auprès de J.________. En cas de retard, un intérêt moratoire sera dû sur la somme à transférer, au taux de 2,25 % l’an à partir du 31e jour suivant l’entrée en force du présent jugement, ou, en cas de recours au Tribunal fédéral, dès que ce tribunal aura statué définitivement sur le recours.</w:t>
      </w:r>
    </w:p>
    <w:p>
      <w:r>
        <w:t>- 10 - b) Selon l’art. 73 al. 2 LPP, applicable par renvoi de l’art. 25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prétendre avoir gain de cause, de sorte que l’octroi de dépens est exclu. Par ces motifs, la juge unique p r o n o n c e : I. Ordonne à la Fondation institution supplétive LPP de prélever du compte de libre passage de A.V.________ la somme de 6'487 fr. 74 (six mille quatre cent huitante-sept francs et septante-quatre centimes), avec intérêts compensatoires d’au moins 1 % pour la période du 27 novembre 2020 au 31 décembre 2023 et d’au moins 1,25 % à compter du 1er janvier 2024, et de transférer ce montant sur le compte dont B.V.________ est titulaire auprès de J.________. II. Dit qu’en cas de retard, un intérêt moratoire sera dû sur la somme à transférer, au taux de 2,25 % l’an du 31e jour suivant l’entrée en force du présent jugement ou, en cas de recours au Tribunal fédéral, dès que ce tribunal aura statué définitivement sur le recours. III. Le présent jugement est rendu sans frais, ni dépens. La juge unique : La greffière :</w:t>
      </w:r>
    </w:p>
    <w:p>
      <w:r>
        <w:t>- 11 - Du Le jugement qui précède est notifié à : - M. Thierry Arnold Von Siebenthal (pour A.V.________), - Me Dorothée Raynaud (pour B.V.________) - Fondation institution supplétive LPP, -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