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ZJ18.005254 vom 20. Juni 2019</w:t>
      </w:r>
    </w:p>
    <w:p>
      <w:r>
        <w:t>VD Tribunal cantonal, 2019-06-20, FR</w:t>
      </w:r>
    </w:p>
    <w:p>
      <w:r>
        <w:rPr>
          <w:b/>
        </w:rPr>
        <w:t xml:space="preserve">Quelle: </w:t>
      </w:r>
      <w:r>
        <w:t>https://mcp.opencaselaw.ch/entscheid/vd_gerichte_ZJ18.005254</w:t>
      </w:r>
    </w:p>
    <w:p>
      <w:r>
        <w:t>FR: VD_GERICHTE ZJ18.005254 du 20 juin 2019</w:t>
      </w:r>
    </w:p>
    <w:p>
      <w:r>
        <w:t>IT: VD_GERICHTE ZJ18.005254 del 20 giugno 2019</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de dissolution du partenariat enregistré (art. 93 al. 1 let. d LPA-VD [loi cantonale vaudoise du 28 octobre 2008 sur la procédure administrative ; BLV 173.36]). En l’absence de contestation des parties sur le montant des prestations de sortie à partager, il incombe au juge instructeur de statuer comme juge unique, sur la base du dossier (art. 111 al. 1 LPA-VD).</w:t>
      </w:r>
    </w:p>
    <w:p>
      <w:r>
        <w:rPr>
          <w:b/>
        </w:rPr>
        <w:t>E. 2</w:t>
      </w:r>
    </w:p>
    <w:p>
      <w:r>
        <w:t>Le 1er janvier 2017 est entrée en vigueur une modification législative du droit du partage de la prévoyance professionnelle en cas de divorce. Dans la mesure où le divorce des ex-époux a été prononcé après l’entrée en vigueur de cette modification, il y a lieu de procéder au partage des avoirs de la prévoyance professionnelle au regard du nouveau droit (art. 7d du titre final du CC [code civil suisse du 10 décembre 1907 ; RS 210]).</w:t>
      </w:r>
    </w:p>
    <w:p>
      <w:r>
        <w:t>- 4 -</w:t>
      </w:r>
    </w:p>
    <w:p>
      <w:r>
        <w:rPr>
          <w:b/>
        </w:rPr>
        <w:t>E. 3</w:t>
      </w:r>
    </w:p>
    <w:p>
      <w:r>
        <w:t>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dès le 1er janvier 2017, dispose notamment qu’en cas de divorce, les prestations de sortie et les parts de rente sont partagées conformément aux art. 122 à 124e CC et aux art. 280 et 281 CPC (code fédéral de procédure civile du 19 décembre 2008 ; RS 272). Selon l’art. 22a al. 1 LFLP (dans sa teneur en vigueur depuis le 1er janvier 2017),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Les art. 122 ss CC, dans leur version en vigueur dès le 1er janvier 2017, prévoient en particulier que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124c al. 1, première phrase, CC).</w:t>
      </w:r>
    </w:p>
    <w:p>
      <w:r>
        <w:t>- 5 - La jurisprudence fédérale, également applicable au nouveau droit,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w:t>
      </w:r>
    </w:p>
    <w:p>
      <w:r>
        <w:rPr>
          <w:b/>
        </w:rPr>
        <w:t>E. 4</w:t>
      </w:r>
    </w:p>
    <w:p>
      <w:r>
        <w:t>En l’espèce, la Présidente du Tribunal d’arrondissement a ordonné le partage par moitié des avoirs de prévoyance professionnelle acquis par les ex-époux entre le 15 mars 2008 et le 4 décembre 2014. Ces dates correspondent à celles du mariage et du dépôt de la demande de divorce (cf. jugement du 16 octobre 2017 p. 31), conformément au nouveau droit applicable ratione temporis. Il s’agit ainsi de la période déterminante pour procéder au calcul des avoirs à partager. X.________ dispose d’un compte de libre passage auprès de la Fondation [...]. Le montant de la prestation de libre passage qu’il a accumulée au cours de la période susmentionnée s’élève à 6'592 fr. 52. Pour sa part, Q.________ est titulaire d’un compte auprès du Fonds de prévoyance d’[...]. Le montant de la prestation de libre passage qu’elle a accumulée au cours de la période susmentionnée s’élève à 17'187 fr. 65. La somme à partager s’élève ainsi à 10'595 fr. 13 (17'187 fr. 65 – 6'592 fr. 52), dont la moitié est 5'297 fr. 55. Il appartiendra au Fonds de prévoyance d’[...] de verser cette somme sur le compte de X.________ auprès de la Fondation [...].</w:t>
      </w:r>
    </w:p>
    <w:p>
      <w:r>
        <w:rPr>
          <w:b/>
        </w:rPr>
        <w:t>E. 5</w:t>
      </w:r>
    </w:p>
    <w:p>
      <w:r>
        <w:t>a) L’art. 26 LFLP, dont la teneur en vigueur est similaire à l’ancienne, prévoit que le Conseil fédéral édicte les dispositions</w:t>
      </w:r>
    </w:p>
    <w:p>
      <w:r>
        <w:t>- 6 - d’exécution (al. 1) et fixe un taux d’intérêt moratoire (al. 2), ce qu’il a fait avec l’OLP (ordonnance fédérale du 3 octobre 1994 sur le libre passage dans la prévoyance professionnelle vieillesse, survivants et invalidité ; RS 831.425). Il a ainsi soumis les prestations de sortie résultant du partage à un intérêt compensatoire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1er janvier 2017 (let. j). b) La prestation de sortie – respectivement, comme c’est le cas en l’espèce, la prestation soumise à partage – entraîne l’intérêt compensatoire dès son exigibilité (ATF 137 V 463 consid. 7.1), soit dès l’entrée en force du jugement de divorce. En l’occurrence, le jour déterminant pour le calcul de l’intérêt compensatoire est le 24 novembre 2017, jour de l’entrée en force du jugement de divorce. Le taux de l’intérêt compensatoire payable sur le montant que doit verser l’institution de prévoyance débitrice est par conséquent d’au moins 1 % l’an à partir du 24 novembre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(cf. art. 15 al. 2 LPP [loi fédérale du 25 juin 1982 sur la prévoyance professionnelle vieillesse, survivants et invalidité ; RS 831.40] qui renvoie à l’art. 12 OPP 2).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 intérêt compensatoire jusqu’au</w:t>
      </w:r>
    </w:p>
    <w:p>
      <w:r>
        <w:t>- 7 - jour du transfert inclus – n’a pas été versé dans les trente jours suivant l’entrée en force du jugement de l’autorité de céans.</w:t>
      </w:r>
    </w:p>
    <w:p>
      <w:r>
        <w:rPr>
          <w:b/>
        </w:rPr>
        <w:t>E. 6</w:t>
      </w:r>
    </w:p>
    <w:p>
      <w:r>
        <w:t>Au vu de ce qui précède, le Fonds de prévoyance d’[...] devra prélever du compte de libre passage de Q.________ la somme de 5'297 fr. 55, avec intérêt compensatoire d’au moins 1 % l’an à partir du 24 novembre 2017, qu’il transférera en faveur de X.________ sur le compte de libre passage n° [...] que celui-ci possède auprès de la Fondation [...].</w:t>
      </w:r>
    </w:p>
    <w:p>
      <w:r>
        <w:rPr>
          <w:b/>
        </w:rPr>
        <w:t>E. 7</w:t>
      </w:r>
    </w:p>
    <w:p>
      <w:r>
        <w:t>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qu’il n'y a pas lieu d’allouer de dépens (art. 61 let. g LPGA a contrario). c)Q.________ bénéficie, au titre de l'assistance judiciaire, de la commission d'office d'un avocat en la personne de Me Ana Rita Perez à compter du 12 juin 2013 (art. 118 al. 1 let. c CPC, applicable par renvoi de l'art. 18 al. 5 LPA-VD). Sur la base de la liste des opérations du 15 mai 2019 produite, il convient d'arrêter à 1’710 fr. l'indemnité de Me Rita Perez, correspondant à 10 h 40 de travail (7 h 40 effectuées par ses soins [au tarif horaire de 180 fr.] et 3 h 00 par son avocat-stagiaire [au tarif horaire de 110 fr.]), somme à laquelle il y a lieu d’ajouter la TVA au taux de 7,7 %, soit un total de 1'841 fr. 70. A ce montant, il convient d’ajouter les débours fixés forfaitairement à 5 % du défraiement hors taxe (art. 3bis al. 1 RAJ [règlement cantonal vaudois du 7 décembre 2010 sur l’assistance judiciaire en matière civile ; BLV 211.02.3]), avec TVA au taux de 7,7 % en sus, soit 92 fr. 10. L’indemnité totale sera donc arrêtée à 1’933 fr. 80 (1'841 fr. 70 + 92 fr. 10).</w:t>
      </w:r>
    </w:p>
    <w:p>
      <w:r>
        <w:t>- 8 - La rémunération de l'avocat d'office est provisoirement supportée par le canton, Q.________ étant rendue attentive au fait qu'elle est tenue de rembourser ce montant dès qu’elle sera en mesure de le faire (art. 123 al. 1 CPC par renvoi de l’art. 18 al. 5 LPA-VD). Il incombera au Service juridique et législatif de fixer les modalités de remboursement (art. 5 RAJ [règlement cantonal vaudois du 7 décembre 2010 sur l'assistance judiciaire civile ; BLV 211.02.3]). Par ces motifs, le juge unique p r o n o n c e : I. Ordre est donné au Fonds de prévoyance d’[...] de prélever sur l’avoir de prévoyance de Q.________ la somme de 5'297 fr. 55 (cinq mille deux cent nonante-sept francs et cinquante-cinq centimes), avec un intérêt compensatoire d’au moins 1 % l’an à partir du 24 novembre 2017, et de transférer ce montant en faveur de X.________, sur le compte dont il est titulaire auprès de la Fondation [...] (n° [...]).</w:t>
      </w:r>
    </w:p>
    <w:p>
      <w:r>
        <w:t>- 9 - II. En cas de retard dans le transfert de la prestation de sortie, le Fonds de prévoyance d’[...] versera en outre un intérêt moratoire de 2 % l’an sur la prestation de sortie à transférer, à partir du 31e jour suivant l’entrée en force du présent jugement ou, en cas de recours au Tribunal fédéral, dès que ce tribunal aura statué définitivement sur le recours. III. Il n’est pas perçu de frais de justice, ni alloué de dépens. IV. L’indemnité d’office de Me Ana Rita Perez, conseil de Q.________, est arrêtée à 1’933 fr. 80 (mille neuf cent trente- trois francs et huitante centimes), TVA comprise. V. La bénéficiaire de l'assistance judiciaire est, dans la mesure de l'art. 123 CPC, applicable par renvoi de l'art. 18 al. 5 LPA-VD, tenue au remboursement de l'indemnité du conseil d'office mise provisoirement à la charge de l'Etat. Le juge unique : Le greffier : Du Le jugement qui précède est notifié à : - Me Ana Rita Perez (pour Q.________), - X.________, - Office Fédéral des Assurances Sociales (OFAS), - Fonds de prévoyance d’[...], - Fondation [...],</w:t>
      </w:r>
    </w:p>
    <w:p>
      <w:r>
        <w:t>- 10 -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