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ZJ16.043078 vom 1. Juli 2024</w:t>
      </w:r>
    </w:p>
    <w:p>
      <w:r>
        <w:t>VD Tribunal cantonal, 2024-07-01, FR</w:t>
      </w:r>
    </w:p>
    <w:p>
      <w:r>
        <w:rPr>
          <w:b/>
        </w:rPr>
        <w:t xml:space="preserve">Quelle: </w:t>
      </w:r>
      <w:r>
        <w:t>https://mcp.opencaselaw.ch/entscheid/vd_gerichte_ZJ16.043078</w:t>
      </w:r>
    </w:p>
    <w:p>
      <w:r>
        <w:t>FR: VD_GERICHTE ZJ16.043078 du 1 juillet 2024</w:t>
      </w:r>
    </w:p>
    <w:p>
      <w:r>
        <w:t>IT: VD_GERICHTE ZJ16.043078 del 1 luglio 2024</w:t>
      </w:r>
    </w:p>
    <w:p>
      <w:pPr>
        <w:pStyle w:val="Heading2"/>
      </w:pPr>
      <w:r>
        <w:t>Erwägungen</w:t>
      </w:r>
    </w:p>
    <w:p>
      <w:r>
        <w:rPr>
          <w:b/>
        </w:rPr>
        <w:t>E. 1</w:t>
      </w:r>
    </w:p>
    <w:p>
      <w:r>
        <w:t>La Cour des assurances sociales du Tribunal cantonal connaît notamment des contestations et prétentions en partage de la prestation de sortie en cas de divorce ou dissolution du partenariat enregistré (art. 93 let. d LPA-VD [loi vaudoise du 28 octobre 2008 sur la procédure administrative ; BLV 173.36] et art. 83b LOJV [loi vaudoise du 12 décembre 1979 d’organisation judiciaire ; BLV 173.01]). Les parties ont convenu du partage par moitié et produit les pièces dont elles ont pu disposer. Ainsi, le partage n’apparaît pas conflictuel, et il incombe au juge instructeur de statuer comme juge unique sur la base du dossier (art. 111 al. 1 LPA-VD).</w:t>
      </w:r>
    </w:p>
    <w:p>
      <w:r>
        <w:rPr>
          <w:b/>
        </w:rPr>
        <w:t>E. 2</w:t>
      </w:r>
    </w:p>
    <w:p>
      <w:r>
        <w:t>Le présent jugement a pour seul objet, selon renvoi du juge du divorce, le partage par moitié des avoirs de prévoyance professionnelle accumulés par les ex-époux durant leur mariage. Il convient de relever qu’en vertu de l’alinéa 2 de son art. 7 d, titre final, la novelle du 19 juin 2015 sur le partage de la prévoyance professionnelle en cas de divorce, en vigueur depuis le 1er janvier 2017 (RO 2016 2313 ; FF 2023 4341), ne s’applique pas car le jugement de divorce est entré en force avant cette dernière date.</w:t>
      </w:r>
    </w:p>
    <w:p>
      <w:r>
        <w:rPr>
          <w:b/>
        </w:rPr>
        <w:t>E. 3</w:t>
      </w:r>
    </w:p>
    <w:p>
      <w:r>
        <w:t>a) Selon l’art. 22 al. 1 LFLP (loi fédérale du 17 décembre 1993 sur le libre passage dans la prévoyance professionnelle vieillesse, survivants et invalidité ; RS 831.42), dans sa version en vigueur jusqu’au 31 décembre 2016, en cas de divorce, les prestations de sortie acquises durant le mariage sont partagées conformément aux art. 122 et 123 CC (code civil suisse du 10 décembre 1907 ; RS 210) et des art. 280 et 281 CPC (code de procédure civile fédéral du 19 décembre 2008 ; RS 272).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w:t>
      </w:r>
    </w:p>
    <w:p>
      <w:r>
        <w:t>- 5 -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également dans sa teneur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132 V 332 et 129 V 251 consid. 2.3 ; TFA B 115/03 du 3 juin 2004 consid. 5.2). La date de l’entrée en force du jugement de divorce est la date déterminante pour le calcul des avoirs à partager (ATF 133 V 288 consid. 4.3.3 et les références).</w:t>
      </w:r>
    </w:p>
    <w:p>
      <w:r>
        <w:rPr>
          <w:b/>
        </w:rPr>
        <w:t>E. 4</w:t>
      </w:r>
    </w:p>
    <w:p>
      <w:r>
        <w:t>a) En l’espèce, le Tribunal d’arrondissement de l’[...] a transmis la cause au Tribunal cantonal pour que les prestations de sortie respectives des ex-époux, acquises pendant la durée du mariage, soient partagées par moitié (cf. chiffres VI et VII du dispositif du jugement de divorce rendu le 20 juin 2016 par la Présidente du Tribunal civil de l’arrondissement de l’[...]). Aucun cas de prévoyance n’est survenu avant le divorce. Il peut ainsi être procédé au partage sur la base des éléments chiffrés recueillis en cours d’instruction. b) Le juge du divorce a établi le montant total des avoirs de prévoyance acquis par S.________ pour la période déterminante du 17 août 1996 au 2 septembre 2016. On notera que vérifiés par l’interpellation des fonds de prévoyance concernés, l’avoir retenu par le juge civil au montant de 19'625 fr. 74 peut être confirmé (cf. jugement de divorce, consid. 2a).</w:t>
      </w:r>
    </w:p>
    <w:p>
      <w:r>
        <w:t>- 6 - Par contre, le juge civil est parvenu à reconstituer les avoirs de prévoyance acquis par N.________ au montant de 20'964 fr. 65, tout en relevant que manquait la prévoyance accumulée dans le cadre de l’emploi chez M.________ SA de 2003 à 2008, l’institution de prévoyance ne pouvant être identifiée. Or, il s’avère que ce fonds de prévoyance n’est pas le C.________, comme le pensait le juge civil, mais les Q.________ qui, interpellées, chiffrent le montant des avoirs déterminants à 12'453 fr. 15, montant qui peut être ajouté à celui retenu par le juge civil. c) Sur le vu de ce qui précède, le montant à partager est de 13'792 fr. 06, dont la moitié s’élève à 6’896 fr. ([33'417 fr. 80 – 19'625 fr. 74] /2). C’est ce montant de 6'896 fr. qui devra être transféré en faveur de la demanderesse, à verser sur le compte de libre passage constitué à son nom après regroupements auprès de la Fondation institution supplétive LPP.</w:t>
      </w:r>
    </w:p>
    <w:p>
      <w:r>
        <w:rPr>
          <w:b/>
        </w:rPr>
        <w:t>E. 5</w:t>
      </w:r>
    </w:p>
    <w:p>
      <w:r>
        <w:t>La question des intérêts n’ayant pas été réglée dans la convention, elle doit être examinée d’office. La prestation de libre passage à transférer à l’époux créancier porte en effet intérêt.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(loi fédérale du 25 juin 1982 sur la prévoyance professionnelle vieillesse, survivants et invalidité ; RS 831.40 ; ATF 137 V 463 consid. 7 et 129 V 251 consid. 3 et 4). Pour la période à partir du 1er janvier 2016 jusqu’au 31 décembre 2016, un taux d’intérêt d’au moins 1,25 % est prévu (art. 12 let. i OPP 2). Pour la période à partir du 1er janvier 2017 jusqu’au 31 décembre 2023, un taux d’intérêt d’au moins 1 % est prévu (art. 12 let. j OPP 2). Enfin, pour la période à partir du 1er janvier 2024, un taux d’intérêt d’au moins 1,25 % est prévu (art. 12 let. k OPP 2). L’intérêt compensatoire court dès son exigibilité (ATF 137 V 463 consid. 7.1), soit dès l’entrée en force du jugement de divorce en ce qui</w:t>
      </w:r>
    </w:p>
    <w:p>
      <w:r>
        <w:t>- 7 - concerne le partage des avoirs de prévoyance professionnelle, c’est-à-dire en l'occurrence dès le 2 septembre 2016. Un intérêt moratoire, selon le taux prévu par l’art. 12 OPP 2, s’ajoute à l’intérêt compensatoire dès le 31e jour suivant l’entrée en force du jugement ordonnant le transfert du montant à partager (TF 9C_149/2017 du 10 octobre 2017 consid. 5.2.4).</w:t>
      </w:r>
    </w:p>
    <w:p>
      <w:r>
        <w:rPr>
          <w:b/>
        </w:rPr>
        <w:t>E. 6</w:t>
      </w:r>
    </w:p>
    <w:p>
      <w:r>
        <w:t>a) Au vu de ce qui précède, les Q.________ devront débiter du compte de libre passage [...] ([...]) n° [...] de N.________ la somme de 6’896 fr., avec intérêt compensatoire d’au moins 1,25 % l’an du 20 juin au 31 décembre 2016, d’au moins 1 % l’an du 1er janvier 2017 au 31 décembre 2023, d’au moins 1,25 % l’an depuis le 1er janvier 2024, et verser ce montant en faveur de S.________ sur le compte de libre passage constitué à son nom auprès de la Fondation institution supplétive LPP. En cas de retard, un intérêt moratoire sera dû sur la somme à transférer, au taux de 1,25 % l’an à partir du 31e jour suivant l’entrée en force du présent jugement, ou, en cas de recours au Tribunal fédéral, dès que ce tribunal aura statué définitivement sur le recours. b) Selon l’art. 73 al. 2 LPP, par renvoi de l’art. 25 al. 1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prétendre avoir gain de cause, de sorte que l’octroi de dépens est exclu. Par ces motifs, le juge unique :</w:t>
      </w:r>
    </w:p>
    <w:p>
      <w:r>
        <w:t>- 8 - I. Ordonne aux Q.________ de débiter du compte de libre passage [...] ([...]) n° [...] de N.________ la somme de 6'896 fr. (six mille huit cent nonante-six francs), avec intérêt compensatoire d’au moins 1,25 % l’an du 20 juin au 31 décembre 2016, d’au moins 1 % l’an du 1er janvier 2017 au 31 décembre 2023, d’au moins 1,25 % l’an depuis le 1er janvier 2024, et de verser ce montant en faveur de S.________ sur le compte de libre passage constitué à son nom après regroupements auprès de la Fondation institution supplétive LPP. II. Dit qu’en cas de retard, un intérêt moratoire sera dû sur la somme à transférer, au taux de 1,25 % l’an à partir du 31e jour suivant l’entrée en force du présent jugement, ou, en cas de recours au Tribunal fédéral, dès que ce tribunal aura statué définitivement sur le recours. III. Dit que le présent jugement est rendu sans frais, ni dépens. Le juge unique : Le greffier : Du Le jugement qui précède est notifié à : - S.________, par publication dans la FAO, - N.________, par publication dans la FAO, - Office Fédéral des Assurances Sociales (OFAS), - Q.________, - Fondation institution supplétive LPP, par l'envoi de photocopies. Le présent jugement peut faire l'objet d'un recours en matière de droit public devant le Tribunal fédéral au sens des art. 82 ss LTF (loi du</w:t>
      </w:r>
    </w:p>
    <w:p>
      <w:r>
        <w:t>- 9 - 17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