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ZJ13.030444 vom 30. September 2013</w:t>
      </w:r>
    </w:p>
    <w:p>
      <w:r>
        <w:t>VD Tribunal cantonal, 2013-09-30, FR</w:t>
      </w:r>
    </w:p>
    <w:p>
      <w:r>
        <w:rPr>
          <w:b/>
        </w:rPr>
        <w:t xml:space="preserve">Quelle: </w:t>
      </w:r>
      <w:r>
        <w:t>https://mcp.opencaselaw.ch/entscheid/vd_gerichte_ZJ13.030444</w:t>
      </w:r>
    </w:p>
    <w:p>
      <w:r>
        <w:t>FR: VD_GERICHTE ZJ13.030444 du 30 septembre 2013</w:t>
      </w:r>
    </w:p>
    <w:p>
      <w:r>
        <w:t>IT: VD_GERICHTE ZJ13.030444 del 30 settembre 2013</w:t>
      </w:r>
    </w:p>
    <w:p>
      <w:pPr>
        <w:pStyle w:val="Heading2"/>
      </w:pPr>
      <w:r>
        <w:t>Erwägungen</w:t>
      </w:r>
    </w:p>
    <w:p>
      <w:r>
        <w:rPr>
          <w:b/>
        </w:rPr>
        <w:t>E. 15</w:t>
      </w:r>
    </w:p>
    <w:p>
      <w:r>
        <w:t>mai 2003, devrait être transférée à une institution de prévoyance en Suisse, en faveur de l’ex-épouse. A défaut de communication du nom d’une institution de libre passage, en Suisse, par la demanderesse, la prestation serait transférée à la Fondation Institution supplétive LPP, sur un compte de libre passage en sa faveur. Les parties n’ont pas réagi dans le délai imparti. Le 25 septembre 2013, toutefois, le Consul général d’Espagne a écrit au Tribunal cantonal que la demanderesse n’avait pas d’objection au partage tel que proposé ni d’autre détermination à présenter. Cette lettre a été communiquée au défendeur. E n d r o i t : 1. Dans le domaine des assurances sociales, le Tribunal cantonal connaît, notamment, des contestations et prétentions en partage de la</w:t>
      </w:r>
    </w:p>
    <w:p>
      <w:r>
        <w:t>- 4 - prestation de sortie en cas de divorce ou dissolution du partenariat enregistré (art. 93 let. d LPA-VD). 2. a) L’art. 22 al. 1 LFLP (loi fédérale du 17 décembre 1993 sur le libre passage dans la prévoyance professionnelle vieillesse, survivants et invalidité, RS 831.42) prévoit qu’en cas de divorce, les prestations de sortie acquises durant le mariage sont partagées conformément aux art. 122 et 123 CC (Code civil suisse du 10 décembre 1907, RS 210) et aux art. 280 et 281 CPC (Code de procédure civile du 19 décembre 2008, RS 272).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Pour ce calcul, on ajoute à la prestation de sortie et à l’avoir de libre passage existant au moment de la conclusion du mariage les intérêts dus au moment du divorce. Les paiements en espèces effectués durant le mariage ne sont pas pris en compte (art. 22 al. 2 LFLP). b) Aux termes de l’art. 122 CC, lorsque l'un des époux au moins est affilié à une institution de prévoyance professionnelle et qu’aucun cas de prévoyance n’est survenu, chaque époux a droit à la moitié de la prestation de sortie de son conjoint calculée pour la durée du mariage selon les dispositions de la LFLP (al. 1). Lorsque les conjoints ont des créances réciproques, seule la différence entre ces deux créances doit être partagée (al. 2). En pratique, il convient de déduire du montant le plus élevé des deux avoirs le montant le moins élevé et de partager en deux le montant en résultant, la somme ainsi obtenue étant ensuite transférée à l’institution de prévoyance de l’époux créancier (ATF 129 V 251 consid. 2.3). c) En l’absence de convention, le juge fixe les proportions dans lesquelles les prestations de sortie doivent être partagées. Aussitôt après l’entrée en force de la décision relative au partage, le juge transfère</w:t>
      </w:r>
    </w:p>
    <w:p>
      <w:r>
        <w:t>- 5 - d’office l’affaire au juge compétent en vertu de la LFLP (art. 142 al. 1 et 2 CC, tel qu’en vigueur jusqu’au 31 décembre 2010). 3. a) En l’espèce, aucun cas de prévoyance n’est survenu avant le divorce. Par ailleurs, parties sont convenues, le 3 janvier 2003, que la prestation de libre passage du défendeur auprès de l’institution de prévoyance de son employeur, Scheuchzer SA, serait partagée par moitié. Cette convention a été ratifiée par le juge du divorce en Espagne, dont la décision a ensuite été déclarée exécutoire en Suisse. Il convient par conséquent de procéder à ce partage par moitié entre les ex-époux. b) Il ressort des attestations de prévoyance figurant au dossier que le défendeur a acquis une prestation de libre passage d’un montant total de 179'972 fr. 65 auprès du Fonds de prévoyance de Scheuchzer SA, géré par les Retraites populaires, pendant la durée du mariage. La moitié de ce montant – soit 89'986 fr. 30 – doit être transférée par le Fonds de prévoyance de Scheuchzer SA à une institution de libre passage en Suisse, en faveur de la demanderesse. Dans la mesure où cette dernière n’a pas donné à la Cour de céans les coordonnées d’une institution où effectuer ce transfert, la Fondation Institution supplétive LPP sera chargée d’ouvrir et de gérer un compte de libre passage en sa faveur. 4. Sur la somme de la prestation de sortie à transférer, soit un montant de 89'986 fr. 30, l’institution de prévoyance débitrice doit en outre verser un intérêt compensatoire et, en cas de retard, un intérêt moratoire (ATF 129 V 251 consid. 3 ss ; TF 9C_540/2010 du 28 novembre 2011 consid. 7). a) Le taux d’intérêt rémunératoire et compensatoire applicable à la prestation de sortie à transférer à la suite d’un divorce doit, s’agissant de l’avoir de prévoyance obligatoire, correspondre au taux minimal fixé à l’art. 12 OPP 2 (ordonnance du 18 avril 1984 sur la prévoyance professionnelle vieillesse, survivants et invalidité, RS 831.441.1). En revanche, l’institution de prévoyance peut fixer librement le taux d’intérêt applicable à l’avoir de prévoyance plus étendue, celui-ci pouvant être</w:t>
      </w:r>
    </w:p>
    <w:p>
      <w:r>
        <w:t>- 6 - inférieur au taux minimal, voire nul (ATF 132 V 278 consid. 4.2 ; ATF 129 V 251 consid. 4.1). En l’espèce, le jour déterminant pour le calcul de l’intérêt compensatoire est le 15 mai 2003, soit le jour du partage selon le jugement de divorce. Par ailleurs, le taux d’intérêt prévu par le règlement de prévoyance est de 3,5%, soit un taux supérieur au taux minimum fixé par l’art. 12 OPP 2 pour toute la période entrant en considération. Par conséquent, le taux d’intérêt compensatoire payable sur le montant que doit transférer l’institution de prévoyance débitrice est de 3,5% du 15 mai 2003 jusqu’au moment du transfert ou de la demeure. b) Le taux de l’intérêt moratoire correspond, selon les art. 15 al. 2 LPP (loi fédérale du 25 juin 1982 sur la prévoyance professionnelle vieillesse, survivants et invalidité, RS 831.40) et 7 OLP (ordonnance du 3 octobre 1994 sur le libre passage dans la prévoyance professionnelle vieillesse, survivants et invalidité, RS 831.425), dans leur teneur depuis le 1er janvier 2005, en corrélation avec l’art. 12 OPP 2, au taux d’intérêt minimal fixé dans la LPP, augmenté de 1%, soit un taux d’intérêt moratoire de 2,5% au total en 2013. Si, comme en l’espèce, c’est le juge de la prévoyance qui fixe le montant de la prestation de sortie, l’intérêt moratoire est dû dès le 31ème jour suivant l’entrée en force du jugement de cette autorité (ATF 129 V 251 consid. 4.2.2 et 5). L’institution de prévoyance débitrice sera ainsi réputée en demeure si le montant à transférer – intérêt compensatoire jusqu’au jour du transfert inclus – n’a pas été versé dans les trente jours suivant l’entrée en force du jugement de l’autorité de céans. 5. a) Il s’ensuit que le Fonds de prévoyance de Scheuchzer SA prélèvera sur l’avoir de prévoyance du défendeur un montant de 89'986 fr. 30 en capital, plus un intérêt compensatoire de 3,5% du 15 mai 2003 au jour du transfert ou de la demeure, et le transférera à la Fondation Institution supplétive LPP, qui ouvrira un compte de libre passage en</w:t>
      </w:r>
    </w:p>
    <w:p>
      <w:r>
        <w:t>- 7 - faveur de la demanderesse. En cas de retard dans le transfert, le Fonds de prévoyance de Scheuchzer SA versera en outre un intérêt moratoire de 2,5% sur le montant à transférer. Il appartiendra à la demanderesse de communiquer aux Retraites populaires, pour le Fonds de prévoyance de Scheuchzer SA, ainsi qu’à la Fondation Institution supplétive LPP, tous les renseignements nécessaires à l’ouverture d’un compte de libre passage en sa faveur par cette dernière institution. b) Il n’y a pas lieu d’allouer de dépens ni de percevoir des frais de justice. c) En l’absence de toute contestation des parties, le présent arrêt est rendu par un juge unique, conformément à la procédure prévue par l’art. 111 al. 1 LPA-VD. Par ces motifs, le juge unique p r o n o n c e : I. Ordre est donné à Retraites Populaires, pour le Fonds de prévoyance de Scheuchzer SA, de prélever sur l’avoir de prévoyance de B.________ un montant de 89'986 fr. 30 (huitante-neuf mille neuf cent huitante-six francs et trente centimes) en capital, plus un intérêt de 3,5% l’an dès le 15 mai 2003, et de transférer ce montant sur un compte de libre passage à ouvrir auprès de la Fondation Institution supplétive LPP en faveur d'A.________. II. En cas de retard dans le transfert de la prestation de sortie, les Retraites populaires, pour le Fonds de prévoyance de Scheuchzer SA, versera en outre à la Fondation Institution supplétive LPP, en faveur d'A.________, un intérêt moratoire de 2,5% l’an dès l’entrée en force du présent jugement, sur le montant de la prestation de sortie à transférer.</w:t>
      </w:r>
    </w:p>
    <w:p>
      <w:r>
        <w:t>- 8 - Le juge unique : La greffière : Du Le jugement qui précède est notifié à : - Francisco J. Pérez Yéboles, Consul général d'Espagne (pour A.________), - B.________, - Retraites populaires, Fonds de prévoyance de Scheuchzer SA, - Fondation Institution supplétive LPP, - Office fédéral des assurances sociales, et communiqué au: - Tribunal d'arrondissement de Lausanne, par l'envoi de photocopies. Le présent jugement peut faire l'objet d'un recours en matière de droit public devant le Tribunal fédéral au sens des art. 82 ss LTF (loi du</w:t>
      </w:r>
    </w:p>
    <w:p>
      <w:r>
        <w:rPr>
          <w:b/>
        </w:rPr>
        <w:t>E. 17</w:t>
      </w:r>
    </w:p>
    <w:p>
      <w:r>
        <w:t>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