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ZJ10.041672 vom 23. Dezember 2010</w:t>
      </w:r>
    </w:p>
    <w:p>
      <w:r>
        <w:t>VD Tribunal cantonal, 2010-12-23, FR</w:t>
      </w:r>
    </w:p>
    <w:p>
      <w:r>
        <w:rPr>
          <w:b/>
        </w:rPr>
        <w:t xml:space="preserve">Quelle: </w:t>
      </w:r>
      <w:r>
        <w:t>https://mcp.opencaselaw.ch/entscheid/vd_gerichte_ZJ10.041672</w:t>
      </w:r>
    </w:p>
    <w:p>
      <w:r>
        <w:t>FR: VD_GERICHTE ZJ10.041672 du 23 décembre 2010</w:t>
      </w:r>
    </w:p>
    <w:p>
      <w:r>
        <w:t>IT: VD_GERICHTE ZJ10.041672 del 23 dicembre 2010</w:t>
      </w:r>
    </w:p>
    <w:p>
      <w:pPr>
        <w:pStyle w:val="Heading2"/>
      </w:pPr>
      <w:r>
        <w:t>Erwägungen</w:t>
      </w:r>
    </w:p>
    <w:p>
      <w:r>
        <w:rPr>
          <w:b/>
        </w:rPr>
        <w:t>E. 1</w:t>
      </w:r>
    </w:p>
    <w:p>
      <w:r>
        <w:t>Le jugement fixant le principe du partage des prestations de sortie est un jugement étranger. Si l’institution de prévoyance en cause est une institution suisse, et qu’elle n’a pas été associée à la procédure devant le tribunal étranger, l’exécution du partage peut être ordonnée par</w:t>
      </w:r>
    </w:p>
    <w:p>
      <w:r>
        <w:t>- 3 - le tribunal suisse des assurances compétent (cf. art. 25a LFLP [loi fédérale du 17 décembre 1993 sur le libre passage dans la prévoyance professionnelle, vieillesse, survivants et invalidité, RS 831.42] et art. 73 LPP [loi fédérale du 25 juin 1982 sur la prévoyance professionnelle vieillesse, survivants et invalidité, RS 831.40]). La demande doit dès lors être dirigée contre l’institution de prévoyance (cf. Thomas Geiser/Christoph Senti, in Commentaire LPP et LFLP, Berne 2010, n. 61 ad art. 22 LFLP). En l’espèce, la requête n’est pas dirigée contre une institution de prévoyance mais contre l’ex-époux, qui lui-même ne peut pas être la partie intimée ou défenderesse, n’étant pas habilité à exécuter une décision concernant le partage des prestations de sortie. Il s’ensuit que la requête est irrecevable.</w:t>
      </w:r>
    </w:p>
    <w:p>
      <w:r>
        <w:rPr>
          <w:b/>
        </w:rPr>
        <w:t>E. 2</w:t>
      </w:r>
    </w:p>
    <w:p>
      <w:r>
        <w:t>Au demeurant, le règle de for applicable en l’espèce est celle de l’art. 73 al. 3 LPP. Le for est donc au siège ou domicile suisse du défendeur ou au lieu de l’exploitation dans laquelle l’assuré a été engagé (cf. ATF 135 V 425). En l’espèce, sur la base des allégués de la requête, il est douteux que la juridiction cantonale vaudoise soit compétente.</w:t>
      </w:r>
    </w:p>
    <w:p>
      <w:r>
        <w:rPr>
          <w:b/>
        </w:rPr>
        <w:t>E. 3</w:t>
      </w:r>
    </w:p>
    <w:p>
      <w:r>
        <w:t>Le juge instructeur doit statuer comme juge unique, en vertu de l’art. 111 al. 1 LPA-VD (loi cantonal vaudoise du 28 octobre 2008 sur la procédure administrative, RSV 173.36) (il n’y a en effet pas lieu de trancher une contestation des parties sur le partage lui-même). La présente décision doit être rendue sans frais ni dépens (cf. art. 73 al. 2 LPP). Par ces motifs, le juge unique p r o n o n c e : I. La requête est irrecevable.</w:t>
      </w:r>
    </w:p>
    <w:p>
      <w:r>
        <w:t>- 4 - II. Il n'est pas perçu de frais judiciaires ni alloué de dépens. Le juge unique : La greffière : Du Le jugement qui précède est notifié à : - Me Pierre-Olivier Wellauer (pour F.________) - L.________ - Office fédéral des assurances sociales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