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ZJ10.026340 vom 10. Dezember 2010</w:t>
      </w:r>
    </w:p>
    <w:p>
      <w:r>
        <w:t>VD Tribunal cantonal, 2010-12-10, FR</w:t>
      </w:r>
    </w:p>
    <w:p>
      <w:r>
        <w:rPr>
          <w:b/>
        </w:rPr>
        <w:t xml:space="preserve">Quelle: </w:t>
      </w:r>
      <w:r>
        <w:t>https://mcp.opencaselaw.ch/entscheid/vd_gerichte_ZJ10.026340</w:t>
      </w:r>
    </w:p>
    <w:p>
      <w:r>
        <w:t>FR: VD_GERICHTE ZJ10.026340 du 10 décembre 2010</w:t>
      </w:r>
    </w:p>
    <w:p>
      <w:r>
        <w:t>IT: VD_GERICHTE ZJ10.026340 del 10 dicembre 2010</w:t>
      </w:r>
    </w:p>
    <w:p>
      <w:pPr>
        <w:pStyle w:val="Heading2"/>
      </w:pPr>
      <w:r>
        <w:t>Erwägungen</w:t>
      </w:r>
    </w:p>
    <w:p>
      <w:r>
        <w:rPr>
          <w:b/>
        </w:rPr>
        <w:t>E. 1</w:t>
      </w:r>
    </w:p>
    <w:p>
      <w:r>
        <w:t>La cause a été transmise à l'autorité de céans pour qu'elle procède au partage des avoirs de prévoyance, un tel partage ressortissant à la compétence de la Cour des assurances sociales conformément à l'art. 93 lit. d LPA-VD (loi cantonale vaudoise du 28 octobre 2008 sur la procédure administrative; RSV 173.36; cf. également art. 110 LPA-VD). Le juge instructeur statue en tant que juge unique sur la base du dossier (art. 111 LPA-VD).</w:t>
      </w:r>
    </w:p>
    <w:p>
      <w:r>
        <w:t>- 4 -</w:t>
      </w:r>
    </w:p>
    <w:p>
      <w:r>
        <w:rPr>
          <w:b/>
        </w:rPr>
        <w:t>E. 2</w:t>
      </w:r>
    </w:p>
    <w:p>
      <w:r>
        <w:t>Le présent jugement a pour seul objet, selon le renvoi de la juridiction civile, le partage par moitié de la prestation de sortie acquise par le demandeur durant le mariage, les éléments chiffrés n'ayant pas été contestés. a) Selon l'art. 25a LFLP (loi fédérale du 17 décembre 1993 sur le libre passage dans la prévoyance professionnelle vieillesse, survivants et invalidité; RS 831.42), en cas de désaccord des conjoints sur la prestation de sortie à partager en cas de divorce (art. 122 et 123 CC [Code civil suisse du 10 décembre 1907; RS 210]), le juge du lieu du divorce compétent au sens de l'art. 73 al. 1 LPP (loi fédérale du 25 juin 1982 sur la prévoyance professionnelle vieillesse, survivants et invalidité; RS 831.40) doit, après que l'affaire lui a été transmise (art. 142 CC), exécuter d'office le partage sur la base de la clé de répartition déterminée par le juge du divorce. A défaut d'accord entre les conjoints (ou de ratification de leur convention par le juge), le système prévu par le législateur pour le partage des prestations de sortie en cas de divorce au sens des art. 122 al. 1 et 142 CC implique l'intervention et la compétence successives du juge de divorce et du juge des assurances sociales. Il appartient tout d'abord au juge du divorce de régler le sort de la prévoyance professionnelle des époux. Il lui incombe d'examiner si les conjoints disposent d'un droit à une prestation de sortie à l'égard d'une institution de prévoyance, l'application de l'art. 122 al. 1 CC présupposant qu'un époux (au moins) dispose d'un tel droit (ATF 130 III 297, consid. 3.3, p. 299). Si tel est le cas, il doit fixer les proportions dans lesquelles les prestations de sortie doivent être partagées (art. 142 al. 1 CC; ATF 133 V 147, consid. 5.3.3, p. 151). Il n'a en revanche pas le pouvoir de déterminer quel montant exact doit être transféré par l'institution de prévoyance de l'un des conjoints puisque le jugement de divorce ne peut pas définir de manière obligatoire la situation juridique entre les conjoints et l'institution de prévoyance, celle-ci n'étant pas partie à la procédure de divorce (ATF 133 V 147, consid. 5.3.3, p. 151; ATF 128 V 41, consid. 2c, p. 46).</w:t>
      </w:r>
    </w:p>
    <w:p>
      <w:r>
        <w:t>- 5 - Une fois le jugement de divorce (ou la décision relative au partage) entré en force, le juge civil transmet d'office l'affaire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ATF 133 V 147, consid. 5.3.3, p. 151).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25a al. 1 LFLP), les informations sur les institutions de prévoyance susceptibles de détenir des avoirs de prévoyance et les montants approximatifs de ceux-ci n'ont en revanche pas de caractère contraignant pour le juge (ATF 133 V 147, consid. 5.3.3, p. 151; Message du Conseil fédéral du 15 novembre 1995 concernant la révision du code civil suisse, FF 1996 I 1 ss, p. 114; cf. aussi Sutter/Freiburghaus, Kommentar zum neuen Scheidungsrecht, Zurich 1999, n. 76 ad art. 122/141-142 CC, p. 225; Schneider/Bruchez, La prévoyance professionnelle et le divorce, in: Le nouveau droit du divorce, Lausanne 2000, p. 251; Baumann/Lauterburg, in: Schwenzer [édit.], Praxiskommentar Scheidungsrecht, Bâle 2000, n. 21 ad art. 142 CC). b) En l'espèce, le divorce des demandeurs n'a pas fait l'objet d'une requête commune ni d'un accord complet, de sorte qu'il appartient au juge de trancher la question notamment du sort des prestations de libre passage acquises durant le mariage.</w:t>
      </w:r>
    </w:p>
    <w:p>
      <w:r>
        <w:t>- 6 - Le juge civil a ordonné le partage par moitié des prestations de libre partage du demandeur. Il a transmis au juge de céans le dossier afin qu'il exécute le partage. Conformément à la jurisprudence, le juge de céans est lié par la clé de répartition fixée par le juge civil. Il ne lui appartient pas de revoir cette clé, faculté revenant à l'autorité compétente pour connaître d'un recours interjeté contre le jugement civil. En l'occurrence, le jugement civil étant définitif et exécutoire, il y a lieu de procéder au partage conformément au dispositif de celui-ci. Il ressort des pièces produites par les différentes institutions de prévoyance professionnelle, dont les décomptes n'ont pas été contestés, que le montant total des prestations de libre passage acquis par le demandeur, durant le mariage, se monte à 4'622 fr. 02 + 1'987 fr. 50 = 6'609 francs 52. Divisé par deux, ce montant total correspond à 3'304 fr. 75, somme à laquelle a droit la demanderesse conformément au dispositif du jugement civil. Au vu de ce qui précède, il convient d'ordonner le versement de la somme de 3'304 fr. 75 du compte du demandeur, ouvert auprès de la Fondation institution supplétive LPP, sur le compte de libre passage ouvert par la demanderesse auprès de W.________.</w:t>
      </w:r>
    </w:p>
    <w:p>
      <w:r>
        <w:rPr>
          <w:b/>
        </w:rPr>
        <w:t>E. 3</w:t>
      </w:r>
    </w:p>
    <w:p>
      <w:r>
        <w:t>a)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(art. 8a OLP [ordonnance du 3 octobre 1994 sur le libre passage dans la prévoyance professionnelle vieillesse, survivants et invalidité; RS 831.425]). Pour la période postérieure au 1er janvier 2009, les intérêts compensatoires dus sur le montant à transférer correspondent à un taux de 2% l'an – sous réserve d'une modification de ce taux par l'auteur de l'ordonnance ou d'un taux d'intérêt supérieur prévu par le règlement de la Caisse de pension (art. 12 lit. f OPP 2 [ordonnance du 18 avril 1984 sur la prévoyance professionnelle vieillesse, survivants et invalidité; RS 831.441.1]).</w:t>
      </w:r>
    </w:p>
    <w:p>
      <w:r>
        <w:t>- 7 - En cas de retard de versement, un intérêt moratoire sera dû dès le 31e jour suivant l'entrée en force du présent jugement. Le taux de l'intérêt moratoire est depuis le 1er janvier 2009 d'au moins 3% – sous réserve d'une modification de ce taux par l'auteur de l'ordonnance (art. 7 OLP; à propos des intérêts, voir ATF 129 V 251). b) En l'espèce, le montant à transférer s'élèvant à 3'304 fr. 75 et le jugement en divorce étant exécutoire et définitif depuis le 13 juillet 2010, des intérêts compensatoires courent, depuis cette date, sur le montant précité. Par ces motifs, le juge unique : I. Ordonne à la Fondation institution supplétive de débiter le compte de A.R.________ (compte n° 17 [...]; n° AVS 875 [...]) de la somme de 3'304 fr. 75, avec intérêts compensatoires au taux de 2% l'an dès le 13 juillet 2010, et de verser ce montant sur le compte de B.R.________, auprès de W.________ (clearing [...]; n° IBAN [...]). II. Dit qu'en cas de retard, un intérêt moratoire sera dû au taux de 3% à partir du 31e jour suivant l'entrée en force de son jugement ou, en cas de recours au Tribunal fédéral, dès que ce Tribunal aura statué définitivement sur le recours. Le juge unique : Le greffier :</w:t>
      </w:r>
    </w:p>
    <w:p>
      <w:r>
        <w:t>- 8 - Du Le jugement qui précède est notifié à : - Me Jean-Pierre Bloch (pour A.R.________), - Me Yvan Guichard (pour B.R.________), - Fondation institution supplétive LPP, - X.________, et communiqué à : - Tribunal d'arrondissement de Lausanne, par l'envoi de photocopies. Le présent jugement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