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ZI25.007246 vom 23. Februar 2026</w:t>
      </w:r>
    </w:p>
    <w:p>
      <w:r>
        <w:t>VD Tribunal cantonal, 2026-02-23, FR</w:t>
      </w:r>
    </w:p>
    <w:p>
      <w:r>
        <w:rPr>
          <w:b/>
        </w:rPr>
        <w:t xml:space="preserve">Quelle: </w:t>
      </w:r>
      <w:r>
        <w:t>https://mcp.opencaselaw.ch/entscheid/vd_gerichte_ZI25.007246</w:t>
      </w:r>
    </w:p>
    <w:p>
      <w:r>
        <w:t>FR: VD_GERICHTE ZI25.007246 du 23 février 2026</w:t>
      </w:r>
    </w:p>
    <w:p>
      <w:r>
        <w:t>IT: VD_GERICHTE ZI25.007246 del 23 febbraio 2026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Les conclusions principales et subsidiaires étant mal fondées, la demande doit en conséquence être rejetée.</w:t>
      </w:r>
    </w:p>
    <w:p>
      <w:r>
        <w:rPr>
          <w:b/>
        </w:rPr>
        <w:t>E. 12</w:t>
      </w:r>
    </w:p>
    <w:p>
      <w:r>
        <w:t>Il n’y a pas lieu de percevoir de frais judiciaires (art. 73 al. 2 LPP), ni d’allouer des dépens à la partie demanderesse, qui n’obtient pas gain de cause (art. 55 al. 1 LPA-VD, par renvoi de l’art. 109 LPA-VD). La partie défenderesse, qui a procédé dans l’accomplissement d’une tâche réglée par le droit public, n’a pas davantage droit à des dépens (ATF 126 V 143 consid. 4 ; voir également ATF 128 V 323).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