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ZI24.036099 vom 11. August 2025</w:t>
      </w:r>
    </w:p>
    <w:p>
      <w:r>
        <w:t>VD Tribunal cantonal, 2025-08-11, FR</w:t>
      </w:r>
    </w:p>
    <w:p>
      <w:r>
        <w:rPr>
          <w:b/>
        </w:rPr>
        <w:t xml:space="preserve">Quelle: </w:t>
      </w:r>
      <w:r>
        <w:t>https://mcp.opencaselaw.ch/entscheid/vd_gerichte_ZI24.036099</w:t>
      </w:r>
    </w:p>
    <w:p>
      <w:r>
        <w:t>FR: VD_GERICHTE ZI24.036099 du 11 août 2025</w:t>
      </w:r>
    </w:p>
    <w:p>
      <w:r>
        <w:t>IT: VD_GERICHTE ZI24.036099 del 11 agosto 2025</w:t>
      </w:r>
    </w:p>
    <w:p>
      <w:pPr>
        <w:pStyle w:val="Heading2"/>
      </w:pPr>
      <w:r>
        <w:t>Erwägungen</w:t>
      </w:r>
    </w:p>
    <w:p>
      <w:r>
        <w:rPr>
          <w:b/>
        </w:rPr>
        <w:t>E. 1</w:t>
      </w:r>
    </w:p>
    <w:p>
      <w:r>
        <w:t>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w:t>
      </w:r>
    </w:p>
    <w:p>
      <w:r>
        <w:t>- 5 -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l’action du demandeur, formée devant le tribunal compétent à raison du lieu du domicile de la défenderesse, est recevable.</w:t>
      </w:r>
    </w:p>
    <w:p>
      <w:r>
        <w:rPr>
          <w:b/>
        </w:rPr>
        <w:t>E. 2</w:t>
      </w:r>
    </w:p>
    <w:p>
      <w:r>
        <w:t>Le litige porte sur le montant de la rente d’invalidité de la prévoyance professionnelle à laquelle le demandeur peut prétendre à compter du 1er décembre 2009, ainsi que sur celui des rentes d’enfant d’invalide. A cet égard, la défenderesse a admis, sur le principe, que le demandeur pouvait prétendre à une rente d’invalidité de 50 % depuis cette date ; elle a toutefois réduit, pour cause de surindemnisation, ce droit pour les périodes du 1er décembre 2009 au 28 février 2011 et du 1er mai 2016 au 31 juillet 2017. Partant, compte tenu de ce qui précède, est seul litigieux le point de savoir si la défenderesse était en droit de nier toute prétention du demandeur pour cause de surindemnisation s’agissant des périodes précitées.</w:t>
      </w:r>
    </w:p>
    <w:p>
      <w:r>
        <w:rPr>
          <w:b/>
        </w:rPr>
        <w:t>E. 3</w:t>
      </w:r>
    </w:p>
    <w:p>
      <w:r>
        <w:t>a) Tant le financement que la mise en œuvre de la prévoyance professionnelle doivent être fixés à l’avance dans les statuts et les règlements (art. 50 LPP) selon des critères schématiques et objectifs et respecter les principes d’adéquation, de collectivité, d’égalité de traitement, de planification ainsi que d’assurance (art. 1 al. 3 LPP ; ATF 131 II 593 consid. 4.1 et les références). Le principe d’assurance de la prévoyance professionnelle est respecté lorsque l’aménagement des rapports entre la personne assurée et l’institution de prévoyance permet d’atteindre les buts de la prévoyance professionnelle non seulement pour les cas de vieillesse, mais également pour les cas d’invalidité et de décès (cf. art. 1h OPP 2 [ordonnance fédérale du 18 avril 1984 sur la prévoyance professionnelle vieillesse, survivants et invalidité ; RS 831.441.1] ;</w:t>
      </w:r>
    </w:p>
    <w:p>
      <w:r>
        <w:t>- 6 - Message du Conseil fédéral du 19 décembre 1975 à l’appui d’un projet de loi sur la prévoyance professionnelle vieillesse, survivants et invalidité, FF 1976 I 127 p. 127s. ; TF 2A.554/2006 du 7 mars 2007 consid. 5.6 ; voir également Jacques-André Schneider, in Commentaire LPP et LFLP, 2010, n° 65 ss ad art. 1 LPP). b)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du Conseil fédéral du 19 décembre 1975 à l’appui d’un projet de loi sur la prévoyance professionnelle vieillesse, survivants et invalidité, FF 1976 I 127 p. 127 ss ; ATF 131 II 593 consid. 4.1 et les références). c)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 Dans le cadre de la prévoyance plus étendue, les employés assurés sont liés à l’institution de prévoyance par un contrat innommé (sui generis)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w:t>
      </w:r>
    </w:p>
    <w:p>
      <w:r>
        <w:t>- 7 -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(in dubio contra stipulatorem ; ATF 140 V 145 consid. 3.3 et les références).</w:t>
      </w:r>
    </w:p>
    <w:p>
      <w:r>
        <w:rPr>
          <w:b/>
        </w:rPr>
        <w:t>E. 4</w:t>
      </w:r>
    </w:p>
    <w:p>
      <w:r>
        <w:t>a) Selon l’art. 34a al. 1 LPP, dans sa teneur en vigueur le 1er décembre 2009 (cf. ATF 121 V 97), le Conseil fédéral était invité par le législateur à édicter des dispositions afin d’empêcher que le cumul de prestations ne procure un avantage injustifié à l’assuré ou à ses survivants. D’après l’art. 24 OPP 2, dans sa version en vigueur à la même période, l’institution de prévoyance pouvait réduire les prestations d’invalidité et de survivants dans la mesure où, ajoutées à d’autres revenus à prendre en compte, elles dépassent 90 % du gain annuel dont on pouvait présumer que l’intéressé était privé (al. 1). Etaient considérées comme des revenus à prendre en compte les prestations d’un type et d’un but analogues qui étaient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Était aussi pris en compte le revenu provenant d’une activité lucrative exercée par un assuré invalide ou le</w:t>
      </w:r>
    </w:p>
    <w:p>
      <w:r>
        <w:t>- 8 - revenu de remplacement ainsi que le revenu ou le revenu de remplacement que celui-ci pouvait encore raisonnablement réaliser (al. 2). b) Dans sa teneur en vigueur le 1er décembre 2009, l’art. 22 du règlement de la Caisse de retraite E.________ prévoyait que, si le montant total constitué par les prestations dues par la Caisse à un invalide ou aux survivants d’un assuré défunt, augmenté des prestations de tiers énumérées à l’alinéa 2, excédait 90 % du salaire annuel brut que réaliserait l’intéressé s’il était resté en activité, augmenté des éventuelles allocations pour enfants, le Conseil de fondation était habilité à réduire les prestations de la Caisse pour respecter une limite maximum (al. 1). Les prestations de tiers prises en compte étaient les prestations de l’assurance-vieillesse et survivants et de l’assurance-invalidité, les prestations servies en application de l’assurance-accidents obligatoire, les prestations de l’assurance militaire, les prestations de toute institution d’assurance ou de prévoyance qui ont été financées en tout ou partie par l’entreprise, les prestations provenant d’assurances sociales étrangères, les prestations provenant d’institutions de libre passage et de l’institution supplétive, le salaire éventuellement payé par l’entreprise ou les indemnités qui en tiennent lieu, ainsi que les revenus qu’un invalide total ou partiel retire de l’exercice d’une activité lucrative ou qu’il pourrait encore réaliser dans le cadre d’une activité lucrative raisonnablement exigible (al. 2). Les allocations pour impotents ainsi que les indemnités pour atteinte à l’intégrité n’étaient pas prises en compte ; les prestations dues au conjoint et aux orphelins étaient cumulées (al. 3). c) A plusieurs reprises, la jurisprudence s’est exprimée sur la notion de « salaire annuel brut que réaliserait l’intéressé s’il était resté en activité » et a considéré qu’elle coïncidait avec celle de « gain annuel dont on pouvait présumer que l’intéressé était privé » de l’art. 24 al. 1 OPP 2 (dans sa version en vigueur le 1er décembre 2009 ; TF 9C_419/2009 du 3 novembre 2009 consid. 2 ; TF B 164/06 du 19 décembre 2007 consid. 2.5). d) S’agissant de la réduction des prestations de la prévoyance professionnelle en cas de surindemnisation, le gain annuel dont on peut</w:t>
      </w:r>
    </w:p>
    <w:p>
      <w:r>
        <w:t>- 9 - présumer que l’intéressé est privé au sens de l’art. 24 al. 1 OPP 2 (sa teneur en vigueur le 1er décembre 2009) est le salaire hypothétique que l’assuré réaliserait sans invalidité (si le cas de prévoyance ne s’était pas produit) au moment où se pose la question de la réduction des prestations LPP. Il ne correspond pas forcément au gain effectivement obtenu avant la survenance du cas de prévoyance (ATF 122 V 151 consid. 3c ; 122 V 316 consid. 2a ; cf. également Marc Hürzeler, op. cit., n° 18 ad art. 34a LPP ; TF 9C_853/2018 du 27 mai 2019 consid. 3.3.1 et les références). Par ailleurs, il existe entre les premier et deuxième piliers (assurance-invalidité et prévoyance professionnelle) un lien qui permet d’assurer d’une part une coordination matérielle étendue entre ces deux piliers et de libérer d’autre part les caisses de pensions chargées de mettre en application la LPP obligatoire de démarches importantes et coûteuses concernant les conditions, l’étendue et le début du droit aux prestations d’invalidité du deuxième pilier (cf., par exemple, ATF 140 V 399 consid. 5.2.1 ; 134 V 64 consid. 4.1.3). Dans ce contexte, le Tribunal fédéral a établi une correspondance ou une équivalence de principe (« Kongruenz » ou « Grundsatz der Kongruenz ») entre d’une part le revenu sans invalidité et le revenu dont on peut présumer que l’intéressé est privé et d’autre part le revenu d’invalide et le revenu que l’assuré pourrait encore raisonnablement réaliser (prévu par l’art. 24 al. 2 OPP 2 [dans sa teneur en vigueur le 1er décembre 2009]). Les revenus déterminants pour l’assurance-invalidité doivent être pris en considération dans le calcul de la surindemnisation de la prévoyance professionnelle. La correspondance ou l’équivalence entre ces revenus doit cependant être comprise dans le sens d’une présomption (ATF 144 V 166 consid. 3.2.2 ; 143 V 91 consid. 3.2 et les références) qui, par définition, peut être renversée selon les circonstances (TF 9C_853/2018 précité consid. 3.3.1 et la référence).</w:t>
      </w:r>
    </w:p>
    <w:p>
      <w:r>
        <w:rPr>
          <w:b/>
        </w:rPr>
        <w:t>E. 5</w:t>
      </w:r>
    </w:p>
    <w:p>
      <w:r>
        <w:t>a) En l’espèce, la caisse défenderesse a fondé ses calculs de surindemnisation sur le revenu annuel d’indépendant lui ayant été annoncé par le demandeur, à savoir 55'000 francs. D’après elle, l’art. 22 de son règlement (dans sa teneur en vigueur le 1er décembre 2009) ne</w:t>
      </w:r>
    </w:p>
    <w:p>
      <w:r>
        <w:t>- 10 - pouvait être interprété en ce sens que le « salaire annuel brut que réaliserait l’intéressé s’il était resté en activité » se recoupait avec le salaire sans invalidité de 101'723 fr. retenu par l’Office AI. Le raisonnement de cette institution de prévoyance ne saurait toutefois être suivi. En effet, conformément au principe d’équivalence (cf. supra consid. 4d), il existe une présomption selon laquelle le « gain annuel dont on pouvait présumer que l’intéressé était privé » au sens de l’art. 24 al. 1 OPP 2 (dans sa teneur en vigueur le 1er décembre 2009) – lequel coïncide, pour rappel (cf. supra consid. 4c), avec la notion précitée de « salaire annuel brut que réaliserait l’intéressé s’il était resté en activité » – correspond au revenu sans invalidité fixé par les organes de l’assurance- invalidité. Or la défenderesse, par le biais des explications qu’elle a fournies dans le cadre de la présente procédure, ne parvient pas à renverser cette présomption. Contrairement à ce qu’elle soutient, l’art. 22 de son règlement ne se réfère pas à la notion de « salaire cotisant », telle qu’on la retrouve par exemple aux art. 11, 17 ou 18 (voir également l’annexe B.4), mais renvoie de manière claire et dénuée de toute ambiguïté au revenu que la personne intéressée aurait pu effectivement réaliser si elle avait été en mesure de poursuivre son activité professionnelle. Ainsi, le fait que le demandeur ait déclaré à la défenderesse un salaire assuré de 55'000 fr. a pour seule et unique conséquence que le montant des prestations allouées par celle-ci sont moins élevées, au regard des cotisations versées, que celui qu’il aurait pu toucher s’il avait annoncé le montant effectif de ses revenus (cf. TF 9C_672/2020 du 5 août 2021 consid. 4.2). L’argumentation de la caisse défenderesse selon laquelle le demandeur n’aurait jamais payé les cotisations adaptées en fonction d'un gain annuel présumé perdu de 101'723 fr. est de ce fait mal fondée. b) Dès lors qu’il y a lieu de tenir compte d’un gain présumé perdu de 101'723 fr. pour fixer la limite de la surindemnisation, il convient de corriger les calculs effectués par la défenderesse, afin de déterminer si le demandeur peut prétendre à des prestations d’invalidité de la prévoyance professionnelle non réduites depuis le 1er décembre 2009. A cet égard, il sied de rappeler (cf. supra consid. 2) que les calculs portant</w:t>
      </w:r>
    </w:p>
    <w:p>
      <w:r>
        <w:t>- 11 - sur la période courant entre le 1er mars 2011 et le 30 avril 2016 et celle débutant le 1er août 2017 ne sont pas litigieux et que le montant total des prestations auxquelles le demandeur peut prétendre annuellement au titre de la prévoyance professionnelle s’élève à 12'650 fr. 40. aa) S’agissant de la période allant du 1er décembre 2009 au 30 juin 2010, le salaire annuel brut s’élève à 91'550 fr. 10 (101'723 fr. x 90 %). Après déduction de la rente d’invalidité (12'912 fr.), des rentes pour enfants (10'344 fr.) et du revenu que le demandeur pourrait raisonnablement encore réaliser (49'049 fr. 20 [tel qu’initialement fixé par l’Office AI]), il en résulte une perte de gain de 19'244 fr. 90, de sorte qu’une réduction des prestations ne se justifie pas. bb) En ce qui concerne la période du 1er juillet au 30 septembre 2010, le salaire annuel brut – indexé à l’indice des prix à la consommation (ci-après : l’IPC ; + 0,7 % entre 2009 et 2010) – se monte à 92'191 fr. 60 (102'435 fr. 10 x 90 %). Après déduction de la rente d’invalidité (12'912 fr.), des rentes pour enfants (10'344 fr.) et des indemnités journalières de l’assurance-invalidité (34'794 fr.), il en résulte une perte de gain de 34'141 fr. 60. Partant, il n’y a pas lieu de réduire les prestations. cc) Pour la période entre le 1er octobre et le 28 novembre 2010, le salaire annuel brut s’élève toujours à 92'191 fr. 60. Après déduction de la rente d’invalidité (12'912 fr.), des rentes pour enfants (10'344 fr.) et du revenu que le demandeur pourrait raisonnablement encore réaliser, indexé à l’IPC (49'392 fr. 55), il en résulte une perte de gain de 19'543 fr. 05, lequel ne permet pas de réduire les prestations. dd) Concernant la période courant entre le 29 novembre 2010 et le 28 février 2011, une réduction des prestations ne se justifie pas non plus, les montants retenus étant identiques à ceux valant pour la période du 1er juillet au 30 septembre 2010.</w:t>
      </w:r>
    </w:p>
    <w:p>
      <w:r>
        <w:t>- 12 - ee) Quant à la période allant du 1er au 30 mai 2016, le salaire annuel brut – indexé à l’IPC (- 1,6 % entre 2009 et 2016) – se monte à 90'085 fr. 95 (100'095 fr. 45 x 90 %). Après déduction de la rente d’invalidité (13'308 fr.), des rentes pour enfants (10'656 fr.) et des indemnités journalières de l’assurance-invalidité (30'132 fr.), il en résulte une perte de gain de 35'989 fr. 95. Il n’y a par conséquent pas lieu de réduire les prestations. ff) S’agissant enfin de la période du 1er juin 2016 au 31 juillet 2017, le salaire annuel brut s’élève toujours à 90'085 fr. 95. Après déduction de la rente d’invalidité (13'308 fr.), des rentes pour enfants (10'656 fr.) et du revenu que le demandeur pourrait raisonnablement encore réaliser, indexé à l’IPC (48’264 fr. 40), il en résulte une perte de gain de 17’857 fr. 55, lequel n’ouvre pas la voie à une réduction des prestations. c) Sur le vu de ce qui précède, force est de constater que la défenderesse n’était pas en droit de réduire les prestations d’invalidité de la prévoyance professionnelle dues au demandeur.</w:t>
      </w:r>
    </w:p>
    <w:p>
      <w:r>
        <w:rPr>
          <w:b/>
        </w:rPr>
        <w:t>E. 6</w:t>
      </w:r>
    </w:p>
    <w:p>
      <w:r>
        <w:t>a) En définitive, la demande formée le 12 août 2024 à l’encontre de la défenderesse doit être admise. Le demandeur a droit aux prestations d’invalidité de la prévoyance professionnelle non réduites à compter du 1er décembre 2009. b) Il n’y a pas lieu de percevoir de frais judiciaires (art. 73 al. 2 LPP). c) Vu le sort de ses conclusions, la partie demanderesse a droit à une indemnité de dépens à titre de participation aux honoraires de son conseil (art. 55 LPA-VD, par renvoi de l’art. 109 LPA-VD). Il convient d’arrêter cette indemnité à 3'500 fr., débours et TVA compris (art. 10 et 11 TFJDA [tarif du 28 avril 2015 des frais judiciaires et des dépens en matière administrative ; BLV 173.36.5.1]), et de la mettre à la charge de la partie défenderesse.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