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ZI23.020315 vom 25. März 2024</w:t>
      </w:r>
    </w:p>
    <w:p>
      <w:r>
        <w:t>VD Tribunal cantonal, 2024-03-25, FR</w:t>
      </w:r>
    </w:p>
    <w:p>
      <w:r>
        <w:rPr>
          <w:b/>
        </w:rPr>
        <w:t xml:space="preserve">Quelle: </w:t>
      </w:r>
      <w:r>
        <w:t>https://mcp.opencaselaw.ch/entscheid/vd_gerichte_ZI23.020315</w:t>
      </w:r>
    </w:p>
    <w:p>
      <w:r>
        <w:t>FR: VD_GERICHTE ZI23.020315 du 25 mars 2024</w:t>
      </w:r>
    </w:p>
    <w:p>
      <w:r>
        <w:t>IT: VD_GERICHTE ZI23.020315 del 25 marzo 2024</w:t>
      </w:r>
    </w:p>
    <w:p>
      <w:pPr>
        <w:pStyle w:val="Heading2"/>
      </w:pPr>
      <w:r>
        <w:t>Volltext</w:t>
      </w:r>
    </w:p>
    <w:p>
      <w:r>
        <w:t>TRIBUNAL CANTONAL PP 15/23 – 13/2024 ZI23.020315 CO UR DE S ASSURANCES S OCIALES _____________________________________________ Jugement du 25 mars 2024 __________________ Composition : M. NEU, juge unique Greffier : M. Reding ***** Cause pendante entre : FONDATION T.________, à [...], demanderesse, et G.________ SA EN LIQUIDATION (anciennement : H.________ SA), à [...] (anciennement : à [...]), défenderesse. _______________ Art. 73 LPP ; art. 89a CC ; art. 357b CO 407</w:t>
      </w:r>
    </w:p>
    <w:p>
      <w:r>
        <w:t>- 2 - E n f a i t : A. a) La société anonyme H.________ SA a été inscrite au registre du commerce (ci-après : le RC) le [...], avec notamment pour but l'exploitation d'une entreprise de construction active dans le domaine du gros œuvre, terrassement, génie civil, coffrage, maçonnerie, béton armé, ferraillage ainsi que divers travaux dans le second œuvre pour tous travaux intérieurs et extérieurs. Son siège social était à [...] à compter du 10 mars 2021 et [...] en était l’administrateur avec signature individuelle. Le [...], elle a transféré son siège à [...] sous la raison de commerce G.________ SA en liquidation, de sorte que la raison de commerce H.________ SA a été radiée le même jour du RC du canton de Vaud. b) Le 12 novembre 2002, la Société Suisse des Entrepreneurs (SSE), d’une part, et les Syndicats SIB (UNIA depuis le 1er janvier 2005) et SYNA, d’autre part, ont conclu une convention collective de travail pour la retraite anticipée dans le secteur principal de la construction (ci-après : la CCT RA). L’Association Cadres de la construction suisse a rejoint la CCT RA ultérieurement. Cette convention a pour but de permettre aux travailleurs du secteur principal de la construction de prendre une retraite anticipée dès l’âge de 60 ans révolus. L’entrée en vigueur de la CCT RA a été fixée au 1er juillet 2003. Les parties à cette convention ont créé, le 19 mars 2003, la Fondation T.________ (ci-après aussi : la demanderesse), institution de prévoyance non enregistrée (au sens de l’art. 89a CC [Code civil suisse du 10 décembre 1907 ; RS 210]), dont le siège est à Zurich. En vertu de la CCT RA, cette fondation est l’organe d’exécution de la communauté conventionnelle au sens de l’art. 357b CO (loi fédérale du 30 mars 1911 complétant le Code civil suisse [Livre cinquième : Droit des obligations] ; RS 220).</w:t>
      </w:r>
    </w:p>
    <w:p>
      <w:r>
        <w:t>- 3 - Le Conseil fédéral a, par arrêté du 5 juin 2003 (ci-après : l’ACF CCT RA), prévu l’extension de la CCT RA à l’ensemble du territoire suisse, à l’exception du canton du Valais. Cette extension a ensuite été prolongée à plusieurs reprises. Le 4 juillet 2003, le conseil de fondation de la Fondation T.________ a édicté, sur la base de la CCT RA, un règlement relatif aux prestations et aux cotisations (ci-après : le règlement RA). c) Par « décision » du 31 mars 2020, la Fondation T.________ a informé la société H.________ SA qu’elle considérait que celle-ci était assujettie à la CCT RA, tant du point de vue du territoire que du genre d’entreprise. Cette société, qui ne s’est pas opposée à cet assujettissement, était dès lors tenue de cotiser pour ses collaborateurs assujettis selon l’ACF CCT RA. Un recours était possible auprès de la Fondation T.________. Le salaire déterminant, qui correspond au salaire soumis à I’AVS des employés assujettis, devait être communiqué à la Fondation T.________ par l’employeur jusqu’au 31 janvier de chaque année (art. 8 CCT RA ; art. 6 al. 2 règlement RA). d) Pour les années de cotisation 2020 et 2021, la société H.________ SA a été invitée à remettre les déclarations des masses salariales concernées, ce qu’elle a omis de faire, malgré plusieurs mises en demeure restées infructueuses. B. a) Les 5 juillet 2021 et 11 mai 2022, la Fondation T.________ a prononcé à l’encontre de la société H.________ SA deux sanctions pour défaut de déclaration des masses salariales pour les années 2020 et 2021, lui adressant, à titre de peine conventionnelle, une facture de 3’000 fr. ainsi que de 500 fr. pour les frais de procédure, respectivement une facture de 5’000 fr. ainsi que de 500 fr. pour les frais de procédure. Impayées, ces factures ont fait l’objet de rappels, non suivis d’effet. b) La Fondation T.________ a dirigé une première poursuite contre la société H.________ SA pour un montant total de 3’500 fr., lui</w:t>
      </w:r>
    </w:p>
    <w:p>
      <w:r>
        <w:t>- 4 - notifiant un commandement de payer le 26 août 2022 (poursuite n° [...] de l’Office des poursuites du district de [...]), lequel a été frappé d’opposition totale le jour même. Une seconde poursuite a été dirigée contre cette société pour un montant total de 5’500 fr. par commandement de payer notifié le 12 septembre 2022 (poursuite n° [...] du même office) et frappé d’opposition totale le jour même. C. a) Par acte du 9 mai 2023, la Fondation T.________ a saisi la Cour des assurances sociales du Tribunal cantonal vaudois d’une action en reconnaissance de dette visant à ce que la société H.________ SA soit condamnée à lui verser, au titre de peine conventionnelle, un montant de 8’000 fr. ainsi que 1’000 fr. de frais de procédure, à ce que les oppositions aux deux poursuites précitées soient respectivement levées pour les montants de 3'500 fr. et de 5'500 fr. et à ce que la mainlevée définitive soit accordée. b) Par réponse du 2 août 2023, la société H.________ SA a produit un document récapitulatif des salaires versés pour l’année 2020, précisant ne peut être en mesure de mettre la main sur d’autres documents. E n d r o i t : 1.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 BLV 173.36) et 36 ROTC (règlement organique du Tribunal cantonal du 13 novembre 2007 ; BLV 173.31.1), en vertu desquels la Cour des assurances sociales du Tribunal cantonal connaît des contestations et prétentions en matière de responsabilité relatives à la</w:t>
      </w:r>
    </w:p>
    <w:p>
      <w:r>
        <w:t>- 5 - prévoyance professionnelle opposant institutions de prévoyance et de libre passage. 2. Le litige sur le fond porte sur la mise à la charge de la société G.________ SA en liquidation (anciennement : la société H.________ SA ; ci- après : la défenderesse) d’une peine conventionnelle globale de 8’000 fr. et de 1’000 fr. de frais de procédure ainsi que sur la levée des deux oppositions et l’octroi d’une mainlevée définitive dans le cadre des poursuites y relatives. 3. a) A titre liminaire, il convient toutefois d’examiner la recevabilité de la demande, soit si la Cour de céans est matériellement compétente pour statuer sur les prétentions réclamées, étant précisé qu’elle est compétente ratione loci, dès lors que le siège de la défenderesse se trouvait encore dans le canton de Vaud à la date du dépôt de cette demande. b) La Fondation T.________ a été créée le 19 mars 2003 en vue de l’application commune de la CCT RA conformément à l’art. 357b CO. Il s’agit d’une institution de prévoyance non enregistrée (ch. 1.1 de l’Acte de fondation). Elle ne participe en effet pas à l’application du régime de l’assurance obligatoire au sens de la LPP. Cependant,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prévue par une convention collective entre dans le champ de la prévoyance professionnelle au sens de la LPP ou des art. 331 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(Christian Bruchez in Jean-Philippe</w:t>
      </w:r>
    </w:p>
    <w:p>
      <w:r>
        <w:t>- 6 - Dunand/Pascal Mahon [édit.], Commentaire du contrat de travail, 2e éd., Berne 2022, n° 47 ad art. 357b CO). c)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w:t>
      </w:r>
    </w:p>
    <w:p>
      <w:r>
        <w:t>- 7 -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la défenderesse, des cotisations salariales qui servent à financer les prestations prévues dans la CCT RA, la demande de la Fondation T.________ serait recevable, car les litiges entre l’institution de prévoyance et l’employeur concernant le paiement des cotisations sont soumis à la compétence des tribunaux mentionnés à l’art. 73 LPP, même lorsque l’institution de prévoyance est une fondation au sens de l’art. 89a CC (ATF 122 V 320 ; 120 V 299 consid. 1a ; 119 II 398 consid. 2b). Le juge de la prévoyance professionnelle, matériellement compétent pour statuer sur la demande en paiement de cotisations, l’est également pour statuer sur la question – préjudicielle – de savoir si la défenderesse est soumis à la CCT RA (TF 9C_211/2008 consid. 4.7). En outre, il l’est aussi pour statuer sur les frais de sommation et de poursuite engagés par la demanderesse en vue de recouvrer les cotisations impayées (dans ce sens : Cour de justice du canton de Genève ATAS/481/2019 du 31 mai 2019). En revanche, comme déjà tranché par la Cour de justice du canton de Genève sans que ces jugements aient été contestés devant notre Haute Cour (ATAS/1136/2020 du 16 novembre 2020 consid. 4c ; ATAS/1057/2022 du 28 novembre 2022) et comme déjà jugé par la Cour de céans dans un jugement du 15 février 2024 (PP 33/22 – 6/2024), puis dans un jugement du 19 février 2024 (PP 17/22 – 7/2024), les amendes conventionnelles sont des prétentions qui ne sont pas fondées sur le droit de la prévoyance professionnelle. En effet, ces amendes (prévues par l’art. 25 CCT RA) visent à sanctionner le non-respect de la CCT RA et relèvent dès lors de l’exécution commune d’une convention collective de</w:t>
      </w:r>
    </w:p>
    <w:p>
      <w:r>
        <w:t>- 8 - travail au sens de l’art. 357b al. 1 CO (ATF 116 II 302 in JdT 1991 1170 ; TF 4A_283/2008 du 12 septembre 2008). Sur cet aspect, le litige ressort exclusivement au droit privé et donc à la compétence du juge civil (Christian Bruchez, op. cit., nos 7 et 36 ad art. 357b CO). Il en est de même des frais de contrôle par l’office de révision des caisses de compensation et des frais de procédure interne relevant de la même norme conventionnelle (ATAS/1136/2020 du 16 novembre 2020 ; ATAS/1057/2022 du 28 novembre 2022). 4. a) En l’espèce, l’art. 23 al. 1 CCT RA dispose que les parties conviennent de l’application commune au sens de l’art. 357b CO. La Fondation T.________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RA prévoit que l’employeur doit remettre jusqu’au 31 janvier au plus tard à la Fondation T.________ une attestation de salaire nominative des personnes assujetties à la CCT RA, numéros AVS inclus, pour l’année civile écoulée. L’art. 25 CCT RA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T.________ se borne à poursuivre la défenderesse pour le non-paiement d’une peine conventionnelle et des frais de procédure. Or, les prétentions tendant au paiement d’amendes conventionnelles et de frais de procédure interne y relatifs, comme c’est le cas en l’espèce, ne trouvent pas leur source dans le droit de la prévoyance professionnelle, mais dans une convention collective, de sorte que la demande est manifestement irrecevable, faute</w:t>
      </w:r>
    </w:p>
    <w:p>
      <w:r>
        <w:t>- 9 - pour la demanderesse d’avoir saisi la juridiction compétente pour en connaître. 5. 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LPA-VD). c) II n’y a pas lieu de percevoir de frais de justice, la procédure étant gratuite (art. 73 al. 2 LPP), ni d’allouer des dépens, dès lors que la défenderesse n’a pas agi avec le concours d’un mandataire professionnel. Par ces motifs, le juge unique p r o n o n c e : I. La demande est irrecevable. II. Rayée du rôle, la cause est transmise à la Fondation T.________, qui conserve la faculté de saisir la juridiction civile compétente. III. Il n'est pas perçu de frais judiciaires, ni alloué de dépens. Le juge unique : Le greffier :</w:t>
      </w:r>
    </w:p>
    <w:p>
      <w:r>
        <w:t>- 10 - Du Le jugement qui précède est notifié à : - Fondation T.________, - G.________ SA en liquidation (anciennement : H.________ SA),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