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ZI22.036829 vom 26. Februar 2024</w:t>
      </w:r>
    </w:p>
    <w:p>
      <w:r>
        <w:t>VD Tribunal cantonal, 2024-02-26, FR</w:t>
      </w:r>
    </w:p>
    <w:p>
      <w:r>
        <w:rPr>
          <w:b/>
        </w:rPr>
        <w:t xml:space="preserve">Quelle: </w:t>
      </w:r>
      <w:r>
        <w:t>https://mcp.opencaselaw.ch/entscheid/vd_gerichte_ZI22.036829</w:t>
      </w:r>
    </w:p>
    <w:p>
      <w:r>
        <w:t>FR: VD_GERICHTE ZI22.036829 du 26 février 2024</w:t>
      </w:r>
    </w:p>
    <w:p>
      <w:r>
        <w:t>IT: VD_GERICHTE ZI22.036829 del 26 febbraio 2024</w:t>
      </w:r>
    </w:p>
    <w:p>
      <w:pPr>
        <w:pStyle w:val="Heading2"/>
      </w:pPr>
      <w:r>
        <w:t>Erwägungen</w:t>
      </w:r>
    </w:p>
    <w:p>
      <w:r>
        <w:rPr>
          <w:b/>
        </w:rPr>
        <w:t>E. 4</w:t>
      </w:r>
    </w:p>
    <w:p>
      <w:r>
        <w:t>a) En l'espèce, l'art. 23 al. 1 CCT RA dispose que les parties conviennent de l'application commune au sens de l'art. 357b CO. La Fondation T.________ est constituée à cet effet. Elle est chargée de faire</w:t>
      </w:r>
    </w:p>
    <w:p>
      <w:r>
        <w:t>- 8 - appliquer la CCT dans son intégralité. Elle est en particulier autorisée à effectuer auprès des parties soumises à la convention les contrôles requis, ainsi qu'à engager des poursuites et porter plainte en son nom, en qualité de représentante des parties contractantes. L'art. 6 al. 2 du règlement RA prévoit que l'employeur doit remettre jusqu'au 31 janvier au plus tard à la Fondation T.________ une attestation de salaire nominative des personnes assujetties à la CCT RA, numéros AVS inclus, pour l'année civile écoulée. L'art. 25 CCT RA dispose que les atteintes aux obligations découlant de cette convention peuvent être sanctionnées par les instances d'application d'une amende conventionnelle jusqu'à 50'000 francs. L'al. 2 demeure réservé. Les contrevenants peuvent également avoir à supporter les frais de contrôle et de procédure (al. 1). Les violations conventionnelles consistant en l'absence de décompte de cotisations ou un décompte insuffisant peuvent être sanctionnées par une amende conventionnelle allant jusqu'au double des montants manquants (al. 2). b) En l'occurrence, la Fondation T.________ se borne à poursuivre la défenderesse pour le non-paiement d'une peine conventionnelle et des frais de procédure. Or, de telles prétentions ne trouvent pas leur source dans le droit de la prévoyance professionnelle mais dans une convention collective, de sorte que la demande est manifestement irrecevable.</w:t>
      </w:r>
    </w:p>
    <w:p>
      <w:r>
        <w:rPr>
          <w:b/>
        </w:rPr>
        <w:t>E. 5</w:t>
      </w:r>
    </w:p>
    <w:p>
      <w:r>
        <w:t>a) Au vu de ce qui précède, il convient de déclarer la demande irrecevable et de renvoyer la demanderesse à saisir, le cas échéant, la juridiction civile compétente. b) La cause est ainsi rayée du rôle, compétence qui relève du juge unique compte tenu du prononcé d'irrecevabilité et dès lors que la valeur litigieuse est inférieure à 30'000 fr. (art. 94 al. 1 let. a et d LPA-VD).</w:t>
      </w:r>
    </w:p>
    <w:p>
      <w:r>
        <w:t>- 9 - c) II n'y a pas lieu de percevoir de frais de justice, la procédure étant gratuite (art. 73 al. 2 LPP), ni d'allouer des dépens dès lors que la défenderesse n'a pas agi avec le concours d'un mandataire professionnel. Par ces motifs, le juge unique p r o n o n c e : I. La demande est irrecevable. II. Rayée rôle, la cause est transmise à la Fondation T.________, qui conserve la faculté de saisir la juridiction civile compétente. III. Il n’est pas perçu de frais judiciaires, ni alloué de dépens. Le juge unique : Le greffier : Du Le jugement qui précède est notifié à : - Fondation T.________, à […], - H.________ Sàrl, à [...], - Office fédéral des assurances sociales, à Berne,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w:t>
      </w:r>
    </w:p>
    <w:p>
      <w:r>
        <w:t>- 10 -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