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ZI21.038472 vom 11. Dezember 2023</w:t>
      </w:r>
    </w:p>
    <w:p>
      <w:r>
        <w:t>VD Tribunal cantonal, 2023-12-11, FR</w:t>
      </w:r>
    </w:p>
    <w:p>
      <w:r>
        <w:rPr>
          <w:b/>
        </w:rPr>
        <w:t xml:space="preserve">Quelle: </w:t>
      </w:r>
      <w:r>
        <w:t>https://mcp.opencaselaw.ch/entscheid/vd_gerichte_ZI21.038472</w:t>
      </w:r>
    </w:p>
    <w:p>
      <w:r>
        <w:t>FR: VD_GERICHTE ZI21.038472 du 11 décembre 2023</w:t>
      </w:r>
    </w:p>
    <w:p>
      <w:r>
        <w:t>IT: VD_GERICHTE ZI21.038472 del 11 dicembre 2023</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w:t>
      </w:r>
    </w:p>
    <w:p>
      <w:r>
        <w:t>- 7 - professionnelle, il y a lieu d’appliquer sur le plan procédural les règles des art. 106 ss LPA-VD sur l’action de droit administratif. d) En l’espèce, l’action de la demanderesse, formée devant la tribunal compétent à raison du lieu de l’exploitation dans laquelle celle-ci a été engagée, est recevable à la forme. Il y a lieu d’entrer en matière.</w:t>
      </w:r>
    </w:p>
    <w:p>
      <w:r>
        <w:rPr>
          <w:b/>
        </w:rPr>
        <w:t>E. 2</w:t>
      </w:r>
    </w:p>
    <w:p>
      <w:r>
        <w:t>Le litige porte sur le droit de la demanderesse à des prestations d’invalidité de la prévoyance professionnelle de la part de l’institution de prévoyance défenderesse.</w:t>
      </w:r>
    </w:p>
    <w:p>
      <w:r>
        <w:rPr>
          <w:b/>
        </w:rPr>
        <w:t>E. 3</w:t>
      </w:r>
    </w:p>
    <w:p>
      <w:r>
        <w:t>a) Selon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au 31 décembre 2021]).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Si une institution de prévoyance reprend explicitement ou par renvoi la définition de l’assurance-invalidité, elle est en principe liée, lors de la survenance du fait assuré, par l’estimation de l’invalidité par les organes de l’assurance-invalidité, sauf si cette évaluation apparaît</w:t>
      </w:r>
    </w:p>
    <w:p>
      <w:r>
        <w:t>- 8 - d’emblée insoutenable (ATF 144 V 72 consid. 4.1 ; 138 V 409 consid. 3.1 ; 130 V 270 consid. 3.1 ; TF 9C_35/2016 du 16 août 2016 consid. 3.3 in SVR 2018/7 n. 27 p. 92).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L’effet contraignant d’une décision de l’assurance-invalidité pour une institution de prévoyance professionnelle ne peut toutefois pas s’étendre à des constatations qui n’étaient pas déterminantes pour la fixation du droit à une rente de l’assurance-invalidité. Il n’y a pas d’effet contraignant notamment lorsque la rente de l’assurance-invalidité a été octroyée sur la base d’une demande tardive (TF 9C_464/2015 du 31 mai 2016 consid. 2.4.2 et les références citées). d)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w:t>
      </w:r>
    </w:p>
    <w:p>
      <w:r>
        <w:t>- 9 -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f)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w:t>
      </w:r>
    </w:p>
    <w:p>
      <w:r>
        <w:t>- 10 -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déjà, sans interruption notable, et sans qu’une complication prochaine soit à craindre. Lorsque l’intéressé dispose à nouveau d’une pleine capacité de travail pendant au mois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Est déterminante pour fixer le moment de la survenance de l’incapacité de travail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Cette activité doit cependant permettre de réaliser par rapport à l’activité initiale un revenu excluant le droit à une rente (ATF 134 V 20 consid. 5.3). L’exercice d’une activité permettant de réaliser un revenu excluant le droit à la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w:t>
      </w:r>
    </w:p>
    <w:p>
      <w:r>
        <w:t>- 11 - exercée jusque-là [voir TF 9C_297/2010 du 23 septembre 2010 consid. 2.1, in SVR 2011 BVG n. 14 p. 51 et la référence citée]). Le fait que l’intéressé est en mesure de réaliser un revenu excluant le droit à une rente n’apparaît déterminant que si celui-ci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w:t>
      </w:r>
    </w:p>
    <w:p>
      <w:r>
        <w:rPr>
          <w:b/>
        </w:rPr>
        <w:t>E. 4</w:t>
      </w:r>
    </w:p>
    <w:p>
      <w:r>
        <w:t>a) En l’espèce, dans la décision qu’il a rendue le 9 octobre 2020, l’OAI a retenu que la demanderesse avait présenté une incapacité totale de travail dans son activité habituelle depuis octobre 2018 et qu’à l’issue du délai d’attente, soit en octobre 2019, elle disposait d’une capacité de travail résiduelle de 50 % dans une activité adaptée mais dont il ne pouvait pas être tenu compte au vu de son âge (plus de cinquante- cinq ans). Le projet d’octroi d’une rente entière d’invalidité du 12 février 2020 ainsi que la décision du 9 octobre 2020 ont été communiqués à la défenderesse de sorte qu’elle est réputée avoir pris part à la procédure de l’assurance-invalidité avec pour corollaire qu’elle est en principe liée par</w:t>
      </w:r>
    </w:p>
    <w:p>
      <w:r>
        <w:t>- 12 - les constatations contraignantes de l’OAI (cf. consid. 3c supra). Par lettre du 19 février 2020, la défenderesse a du reste informé l’OAI qu’elle refusait d’allouer ses prestations à la demanderesse contestant le lien de causalité entre l’invalidité reconnue par l’OAI depuis octobre 2018 et la cause de l’incapacité de travail survenue en 2007 alors que la demanderesse était affiliée auprès d’elle. b) Le droit à une rente d’invalidité à charge de la défenderesse dépend de la question de savoir si les atteintes à la santé qui ont conduit à l’octroi d’une rente de l’assurance-invalidité sont étroitement liées, matériellement et temporellement, à une incapacité de travail survenue pendant le rapport de prévoyance ou si, au contraire, elles ne le sont pas. D’après les explications fournies par la défenderesse – non contestées par la demanderesse –, la demanderesse a été affiliée auprès de la défenderesse en tant que salariée jusqu’au 4 novembre 2008. c) Il convient de relever d’emblée que l’on peut douter de la connexité matérielle, vu le nombre d’atteintes à la santé et de limitations fonctionnelles qui sont survenues et se sont accumulées au fil du temps. En effet, dans sa première demande de prestations de l’assurance-invalidité du 6 décembre 2007, soit durant la période où elle était affiliée auprès de la défenderesse, la demanderesse faisait état de problèmes lombaires, d’obésité, de jambes, de genoux, de sommeil, de tyroïde et psychiatriques. Les expertises contemporaines mises en œuvre par l’OAI ont par ailleurs retenu une obésité ainsi qu’une dysthymie. La demanderesse conservait ainsi une capacité de travail de 85 % dans une activité adaptée à son état de santé défaillant à compter du 1er décembre 2007. A l’appui de sa seconde demande de prestations AI du 11 juillet 2012, la demanderesse invoquait une péjoration de son état de santé, avec l’apparition d’une perte de vision de l’œil gauche (amblyopie)</w:t>
      </w:r>
    </w:p>
    <w:p>
      <w:r>
        <w:t>- 13 - et une vision de l’œil droit à 80%, selon les rapports de consultation de l’hôpital ophtalmique d’août et septembre 2012. Dans le cadre de sa troisième demande du 30 novembre 2018, alléguant une aggravation de ses lombalgies, une gonarthrose, des troubles ophtalmologiques et psychiatriques, c’est en définitive une capacité de travail résiduelle de 50 % dans une activité adaptée qui a été retenue par l’OAI à l’issue du délai d’attente, soit en octobre 2019. d) La question de la connexité matérielle entre l’incapacité de travail de la demanderesse survenue en 2007 et son invalidité en 2018 peut toutefois demeurer indécise dès lors que la connexité temporelle est à l’évidence rompue. L’OAI a, au terme d’une instruction au long cours, retenu une capacité de travail dans une activité adaptée aux limitations fonctionnelles de 85 % par décision du 14 octobre 2011, entrée en force, laquelle n’a pas non plus été remise en cause dans le cadre d’un refus d’entrer en matière sur une seconde demande en 2012. Ce ne sera qu’en 2020, sur une troisième demande de prestations, que l’OAI retiendra une capacité de travail résiduelle restreinte à 50 % dès octobre 2018, soit dix années après la fin des rapports de travail avec la défenderesse (le contrat de travail de la demanderesse ayant été résilié avec effet au 31 mars 2008 pour des motifs de santé). Cela étant, la capacité de travail de 80 % dans une activité adaptée théorique telle qu’imputée à la demanderesse par décision en force ne trouve pas d’obstacle dans les avis des médecins traitants, qui ne constituent que des avis divergents et ne plaident au demeurant pas des éléments d’ordre médical dont l’OAI n’aurait pas tenu compte. Une capacité de travail dans une activité adaptée supérieure à 80 % ayant prévalu largement plus que les trois mois retenus par la jurisprudence (cf. consid. 3f supra), la rupture du lien de causalité temporelle commande le rejet de la demande de prestations de l’assurance-invalidité réclamées à la défenderesse. Cette dernière n’est</w:t>
      </w:r>
    </w:p>
    <w:p>
      <w:r>
        <w:t>- 14 - pas non plus tenue de servir de rente de vieillesse dès lors qu’il n’y a pas de conversion de prestations de l’assurance-invalidité, cette question échappant toutefois à l’objet du présent litige (sur l’irrecevabilité de conclusions qui vont au-delà de l’objet de la contestation, tel que défini par la décision litigieuse, cf. ATF 144 II 359 consid. 4.3; 142 I 155 consid. 4.4.2 ; 134 V 418 consid. 5.2.1). e) Compte tenu de l’issue du présent litige, les réquisitions tendant à la production par la défenderesse de ses règlements et leurs modifications, de toutes ses attestations de prévoyance, des comptes techniques et témoin, ainsi que de toutes les décisions de son conseil de fondation depuis 2007, sont sans pertinence.</w:t>
      </w:r>
    </w:p>
    <w:p>
      <w:r>
        <w:rPr>
          <w:b/>
        </w:rPr>
        <w:t>E. 5</w:t>
      </w:r>
    </w:p>
    <w:p>
      <w:r>
        <w:t>a) Mal fondée, la demande formée par O.________ contre P.________ est rejetée. b) Il n’y a pas lieu de percevoir de frais judiciaires (art. 73 al. 2 LPP), ni d’allouer des dépens à la demanderesse, qui n’obtient pas gain de cause (art. 55 al. 1 LPA-VD, applicable par renvoi de l’art. 109 LPA-VD). La défenderesse, qui a procédé dans l’accomplissement d’une tâche réglée par le droit public, n’a pas davantage droit à des dépens (ATF 126 V 143 consid. 4 ; voir également ATF 128 V 323). c) Par décision du 13 septembre 2021, la demanderesse a été mise au bénéfice de l’assistance judiciaire avec effet au 9 septembre 2021 et a obtenu à ce titre la commission d’un avocat d’office en la personne de Me Jean-Michel Duc. Contrôlée, la liste des opérations produite le 1er juin 2023 peut être admise, au tarif de l’avocat-stagiaire Luca Zanello. Il y a donc lieu d’arrêter l'indemnité de Me Duc, correspondant à 7 heures et 30 minutes de travail, sur la base d’un tarif horaire de 110 fr., somme à laquelle il y a lieu d’ajouter la TVA au taux de 7,7 %, soit un total de 888 fr. 50. A ce montant, il convient d’ajouter les débours fixés forfaitairement à 5 % du défraiement hors taxe (art. 3bis al. 1 RAJ</w:t>
      </w:r>
    </w:p>
    <w:p>
      <w:r>
        <w:t>- 15 - [règlement cantonal vaudois du 7 décembre 2010 sur l’assistance judiciaire en matière civile ; BLV 211.02.3]), avec TVA au taux de 7,7 % en sus, soit 44 fr. 40. L’indemnité totale sera donc arrêtée à 932 fr. 90 (888 fr. 50 + 44 fr. 40). d) La demanderesse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