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ZI19.009142 vom 9. November 2020</w:t>
      </w:r>
    </w:p>
    <w:p>
      <w:r>
        <w:t>VD Tribunal cantonal, 2020-11-09, FR</w:t>
      </w:r>
    </w:p>
    <w:p>
      <w:r>
        <w:rPr>
          <w:b/>
        </w:rPr>
        <w:t xml:space="preserve">Quelle: </w:t>
      </w:r>
      <w:r>
        <w:t>https://mcp.opencaselaw.ch/entscheid/vd_gerichte_ZI19.009142</w:t>
      </w:r>
    </w:p>
    <w:p>
      <w:r>
        <w:t>FR: VD_GERICHTE ZI19.009142 du 9 novembre 2020</w:t>
      </w:r>
    </w:p>
    <w:p>
      <w:r>
        <w:t>IT: VD_GERICHTE ZI19.009142 del 9 novembre 2020</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w:t>
      </w:r>
    </w:p>
    <w:p>
      <w:r>
        <w:t>- 8 -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consid. 2). e) L’action du demandeur, formée devant le tribunal compétent à raison du lieu de l’exploitation dans laquelle il a été engagé, est recevable en la forme. Il y a lieu d’entrer en matière.</w:t>
      </w:r>
    </w:p>
    <w:p>
      <w:r>
        <w:rPr>
          <w:b/>
        </w:rPr>
        <w:t>E. 2</w:t>
      </w:r>
    </w:p>
    <w:p>
      <w:r>
        <w:t>Le litige a pour objet le droit du demandeur à des prestations d’invalidité de la prévoyance professionnelle de la part de la défenderesse</w:t>
      </w:r>
    </w:p>
    <w:p>
      <w:r>
        <w:rPr>
          <w:b/>
        </w:rPr>
        <w:t>E. 3</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w:t>
      </w:r>
    </w:p>
    <w:p>
      <w:r>
        <w:t>- 9 - celles en vigueur au moment où les faits juridiquement déterminants se sont produits (ATF 138 V 176 consid. 7.1), le cas d'espèce reste régi par les dispositions de la LPP en vigueur jusqu'au 31 décembre 2004.</w:t>
      </w:r>
    </w:p>
    <w:p>
      <w:r>
        <w:rPr>
          <w:b/>
        </w:rPr>
        <w:t>E. 4</w:t>
      </w:r>
    </w:p>
    <w:p>
      <w:r>
        <w:t>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et de proportionnalité ainsi que de l'interdiction de l'arbitraire (ATF 138 V 176 consid. 5.3 ; 115 V 103 consid. 4b). b) Si une institution de prévoyance reprend explicitement ou par renvoi la définition de l'invalidité de l'assurance-invalidité, elle est en principe liée, lors de la survenance du fait assuré, par l'estimation de l'invalidité des organes de l'assurance-invalidité, sauf si cette évaluation apparaît d'emblée insoutenable (ATF 144 V 63 consid. 4.1.1 ;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133 V 67 consid. 4.3.2 ; 129 V 73 consid. 4.2.2). c) Selon l’art. 29 du règlement de prévoyance de la Caisse de retraite en faveur du personnel interne de B.________, [...] (ci-après : le règlement), dans sa teneur en vigueur dès le 1er janvier 2001, applicable à la présente affaire, l’assuré qui est reconnu invalide par l’assurance-</w:t>
      </w:r>
    </w:p>
    <w:p>
      <w:r>
        <w:t>- 10 - invalidité fédérale est également reconnu invalide par la Caisse, avec effet à la même date et dans la même mesure, pour autant qu’il ait été affilié à la Caisse lorsqu’a débuté l’incapacité de travail dont la cause est à l’origine de l’invalidité. d) En l’occurrence, le règlement précité renvoie à la définition de l’invalidité selon l’assurance-invalidité. Les points litigieux devront cependant être examinés indépendamment de l'évaluation de l'invalidité (principe, taux et début du droit) à laquelle ont procédé les organes de l'assurance-invalidité par décision du 9 août 2018. En effet, ni cette décision, ni l’arrêt de la Cour de céans du 6 mai 2019 n’ont été notifiés à la défenderesse.</w:t>
      </w:r>
    </w:p>
    <w:p>
      <w:r>
        <w:rPr>
          <w:b/>
        </w:rPr>
        <w:t>E. 5</w:t>
      </w:r>
    </w:p>
    <w:p>
      <w:r>
        <w:t>a) Selon l’art. 23 LPP, dans sa teneur en vigueur jusqu'au 31 décembre 2004, ont droit à des prestations d’invalidité les personnes qui sont invalides à raison de 50 % au moins au sens de l’Al, et qui étaient assurées lorsqu’est survenue l’incapacité de travail dont la cause est à l’origine de l’invalidité. Le règlement de prévoyance reprend également cette seconde condition. Dans la prévoyance obligatoire, la survenance de l’événement assuré ne coïncide pas avec la naissance du droit à la rente de l'assurance-invalidité selon l'art. 29 al. 1 let. b LAI (dans sa teneur en vigueur jusqu'au 31 décembre 2007; cf. actuellement 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w:t>
      </w:r>
    </w:p>
    <w:p>
      <w:r>
        <w:t>- 11 -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w:t>
      </w:r>
    </w:p>
    <w:p>
      <w:r>
        <w:t>- 12 -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w:t>
      </w:r>
    </w:p>
    <w:p>
      <w:r>
        <w:t>- 13 -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9C_353/2010 du 12 juillet 2010 consid. 2.2 ;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9C_76/2015 du 18 décembre 2015 consid. 2.4 ; TFA B 95/06 du 4 février 2008 consid. 3.3 et les références citées). Pour</w:t>
      </w:r>
    </w:p>
    <w:p>
      <w:r>
        <w:t>- 14 -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w:t>
      </w:r>
    </w:p>
    <w:p>
      <w:r>
        <w:rPr>
          <w:b/>
        </w:rPr>
        <w:t>E. 6</w:t>
      </w:r>
    </w:p>
    <w:p>
      <w:r>
        <w:t>a) En premier lieu, pour reconnaître au demandeur le droit à des prestations d’invalidité de la part de la défenderesse, il convient de déterminer si l’incapacité de travail dont la cause est à l’origine de l’invalidité est survenue entre le 5 novembre 2001 et le 30 septembre 2004 (art. 10 al. 3 LPP). b) Le demandeur a été mis au bénéfice d’une rente entière d’invalidité en raison d’atteintes à sa santé psychique, savoir un trouble de la personnalité schizoïde, un trouble dépressif récurrent, épisode actuel léger, avec syndrome somatique existant au moins depuis deux ans et un TAD-H existant depuis l’enfance. Selon le rapport d’expertise du 5 avril 2017, ces différentes affections psychiques impliquent des difficultés sur le plan professionnel depuis le jeune âge du recourant et, selon toute vraisemblance, il a réussi à compenser celles-ci jusqu’en 2004. L’expert a estimé probable que la capacité de travail se soit réduite progressivement depuis 2004 au moins et considéré qu’il existait sans doute une incapacité de travail complète depuis fin 2013. Étant rappelé qu’une appréciation rétrospective de la capacité de travail est toujours possible sur la base des données d’un dossier et de l’examen de la personne concernée (TF 9C_291/2018 du 3 août 2018 consid. 5.1), il convient en l’espèce d’apprécier s’il existe un lien de connexité matérielle, savoir si les affections psychiques précitées, à l’origine de l’invalidité actuelle, se sont déjà manifestées durant le rapport de prévoyance auprès de la défenderesse. c) Pendant la durée de son engagement auprès de B.________, le demandeur a présenté en tout et pour tout un jour d’incapacité de travail en 2002 et deux jours d’incapacité de travail en 2003 pour cause</w:t>
      </w:r>
    </w:p>
    <w:p>
      <w:r>
        <w:t>- 15 - de maladie. Son psychiatre traitant, le Dr Z.________ a certes fait état d’une capacité de travail variant de 0 à 100 % selon le contexte professionnel. Il n’apparaît cependant pas que ce praticien ait délivré au recourant un arrêt de travail à l’époque de son emploi auprès de B.________. Par ailleurs, l’existence d’une diminution de rendement comme du grief de manque de rigueur qu’aurait formulé l’employeur n’est pas rendue vraisemblable par les pièces au dossier. Il n’est notamment pas fait d’observation ou d’avertissement signifiés par l’employeur au recourant. Le motif de licenciement explicitement et régulièrement invoqué par l’employeur est celui d’une réorganisation du service, pour des motifs économiques, et les pièces au dossier n’autorisent pas une autre interprétation. C’est en vain que le demandeur impute à son état de santé la libération immédiate de ses fonctions. En effet, il est notoire que le licenciement est usuellement assorti de la libération d’obligation de travailler lorsqu’il concerne des collaborateurs qui, à l’instar du recourant, ont connaissance de secrets commerciaux ou accès au portefeuille de clients. Enfin, il n’apparaît pas, à lecture du relevé des prestations de soins payées par l’assurance-maladie du recourant à l’époque de la résiliation du contrat de travail et pendant le délai de congé, qu’il aurait consulté de façon plus intensive son médecin psychiatre traitant que lors des mois précédents. Ce n’est en effet qu’à partir de 2005 que la durée et le montant des prestations relatives au traitement psychiatrique augmentent. d) Ainsi, il n’est pas démontré que le demandeur aurait présenté entre le 5 novembre 2001 et le 30 septembre 2004 une incapacité de travail relevant des atteintes psychiques actuellement invalidantes, de telle sorte que le lien de connexité matérielle doit être nié.</w:t>
      </w:r>
    </w:p>
    <w:p>
      <w:r>
        <w:rPr>
          <w:b/>
        </w:rPr>
        <w:t>E. 7</w:t>
      </w:r>
    </w:p>
    <w:p>
      <w:r>
        <w:t>a) Même dans l’hypothèse où le lien de connexité matérielle devait être admis, l’existence d’un lien de connexité temporelle devrait être niée.</w:t>
      </w:r>
    </w:p>
    <w:p>
      <w:r>
        <w:t>- 16 - b) En effet, il ressort des pièces produites par l’assurance- chômage que non seulement le demandeur était considéré comme apte au placement à 100 % entre le 1er septembre 2004 et le 31 août 2006, mais encore qu’il a été en mesure de suivre des cours pendant plusieurs semaines consécutives, ce qui suppose que son aptitude n’était pas seulement théorique. À cela s’ajoute que deux jours d’incapacité de travail seulement ont été annoncés durant le délai-cadre indemnisé. Or, à l’époque, l’assuré était toujours suivi par le Dr Z.________ et celui-ci n’a apparemment pas délivré de certificat d’incapacité de travail à l’attention des organes de l’assurance-chômage. Si par la suite, soit dès septembre 2006 et jusqu’à juin 2008, l’assuré n’a occupé que quatre emplois d’une durée variant de un à deux mois, le Dr Z.________ retenait, dans son rapport du 20 décembre 2007 à l’OAI, une capacité de travail actuelle de 100 %, sans diminution de rendement. Par ailleurs, ce rapport ne faisait pas mention de la délivrance de certificats d’arrêt de travail. L’assuré a ensuite été employé de septembre à décembre 2008 par A.________ puis de décembre 2008 à mars 2009 par C.________. Il n’allègue pas que ces emplois auraient été exercés à temps partiel. Cela étant, il a été en mesure de travailler pendant sept mois consécutifs, durée interrompant à elle seule le lien de connexité temporelle. Enfin, l’emploi d’avril à septembre 2011 auprès de la Justice de paix ne consistait pas en un stage procuré par l’ORP mais en un contrat de travail de durée déterminée décroché par le demandeur en personne. Ce contrat a été respecté sans interruption, rompant ainsi également le lien de connexité temporelle. c) L’expert P.________ ne se prononce pas sur l’évolution du taux de capacité de travail du recourant à partir de 2004. La mise en œuvre d’une expertise complémentaire par cet expert telle que requise par le demandeur au titre de mesure d’instruction complémentaire serait cependant vaine dans la mesure où il ressort d’ores et déjà des pièces au dossier que l’intéressé a bénéficié d’une pleine capacité de travail pendant des périodes suffisamment longues pour interrompre le lien de connexité temporelle. Quant à l’audition des témoins, elle n’apparaît pas de nature à</w:t>
      </w:r>
    </w:p>
    <w:p>
      <w:r>
        <w:t>- 17 - apporter un éclairage différent des éléments retenus ci-dessus, d’autant plus qu’aucun d’entre eux ne dispose des compétences médicales nécessaires à l’appréciation de la capacité de travail, déterminante en l’occurrence ; elle peut dès lors être écartée par appréciation anticipée des preuves (ATF 137 III 208 consid. 2.2 ; 135 II 286 consid. 5.1). En conséquence, l’action doit être rejetée.</w:t>
      </w:r>
    </w:p>
    <w:p>
      <w:r>
        <w:rPr>
          <w:b/>
        </w:rPr>
        <w:t>E. 8</w:t>
      </w:r>
    </w:p>
    <w:p>
      <w:r>
        <w:t>Il n’y a pas lieu de percevoir de frais judiciaires, la procédure étant gratuite (art. 73 al. 2 LPP), ni d’allouer des dépens dès lors que le demandeur n’obtient pas gain de cause (art. 55 al. 1 LPA-VD, par renvoi de l’art. 109 LPA-VD). La défenderesse, qui intervient dans l’accomplissement de tâches réglées par le droit public, n’a pas droit à des dépens (ATF 128 V 124 consid. 5b ; TF 9C_927/2010 du 4 août 2011 consid. 6).</w:t>
      </w:r>
    </w:p>
    <w:p>
      <w:r>
        <w:rPr>
          <w:b/>
        </w:rPr>
        <w:t>E. 9</w:t>
      </w:r>
    </w:p>
    <w:p>
      <w:r>
        <w:t>a) Par décision du 5 mars 2019, le demandeur a été mis au bénéfice de l’assistance judiciaire à compter du 25 février 2019 et a obtenu à ce titre l’exonération du paiement d’avances et de frais judiciaires, ainsi que la commission d’un avocat d’office en la personne de Me Jean-Michel Duc. b) Selon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et appliquant un tarif horaire de 180 fr. s’agissant d’un avocat, de 110 fr. pour un avocat- stagiaire, de 140 fr. pour un agent d’affaires breveté et de 90 fr. pour un stagiaire d’un agent d’affaires breveté (art. 2 al. 1 let. a et b RAJ).</w:t>
      </w:r>
    </w:p>
    <w:p>
      <w:r>
        <w:t>- 18 - Seuls sont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cantonale vaudoise du 9 juin 2015 sur la profession d’avocat ; BLV 177.11)]. L’octroi de l’assistance judiciaire crée une relation de droit public cantonal entre l’avocat et l’Etat, sous la forme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141 I 70 consid. 6.1 et 6.2). En matière de défense d’office, le requérant ne dispose pas d’une liberté de choix illimitée de son défenseur. Selon la jurisprudence, la réduction de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n’est pas arbitraire (ATF 141 I 70 consid. 6). c) En l’occurrence, il ressort de la liste produite que les opérations relevant du mandat d’office ont été accomplies par l’avocate Marine Dugon, actuellement Marine de Saint Leger, par l’avocate Marine Girardin, stagiaire en l’étude de Me Duc depuis le 15 mai 2017 et titulaire</w:t>
      </w:r>
    </w:p>
    <w:p>
      <w:r>
        <w:t>- 19 - du brevet depuis le 30 septembre 2019, et par l’avocat Jean-Michel Duc. Ces trois avocats travaillent au sein de la même étude. Me de Saint Leger a effectué 13 heures et 40 minutes et Me Girardin 9 heures et 30 minutes, en qualité d’avocates. Quant aux opérations de Me Duc, elles totalisent 1 heure et 55 minutes. Il apparaît ainsi que dans les faits, le mandat de conseil d’office conféré à Me Duc a été délégué par cet avocat pour l’essentiel des opérations à ses deux consœurs avocates, sans aucune autorisation judiciaire, avec pour corollaire que l’activité déployée par celles-ci ne devrait pas être indemnisée. d) Dans la mesure où une telle délégation aura déjà pu être indemnisée dans des causes précédemment jugées devant la Cour de céans, il s’agit d’un changement de pratique. Le droit à la protection de la bonne foi, qui découle de l'art. 9 Cst., doit donc être pris en considération (ATF 135 II 78 consid. 3.2 et les arrêts cités). En conséquence, la Cour de céans, statuant par voie de coordination au sens de l’art. 38 ROTC (règlement organique du Tribunal cantonal du 13 novembre 2007 ; BLV 173.31.1), prononce qu’en l’absence d’autorisation judiciaire préalable, les opérations déléguées par le conseil d’office à un autre avocat titulaire d’un brevet, qu’il soit collaborateur, associé ou simple confrère, ne seront plus indemnisées, sous réserve de circonstances particulières. e) Après examen de la liste des opérations produite le 22 juillet 2020, il y a lieu de retenir un temps total de 25 heures et 5 minutes de prestations, au tarif horaire de 180 fr., soit au total 4’515 fr., montant auquel il convient d’ajouter 26 fr. 50 au titre de débours, comme indiqué dans la liste des opérations. Au final, le montant de l’indemnité de Me Duc est arrêté à 4'891 fr. 20, débours et TVA compris.</w:t>
      </w:r>
    </w:p>
    <w:p>
      <w:r>
        <w:t>- 20 - La rémunération de l’avocat d’office est provisoirement supportée par le canton, le demandeur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