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ZI16.034067 vom 17. April 2020</w:t>
      </w:r>
    </w:p>
    <w:p>
      <w:r>
        <w:t>VD Tribunal cantonal, 2020-04-17, FR</w:t>
      </w:r>
    </w:p>
    <w:p>
      <w:r>
        <w:rPr>
          <w:b/>
        </w:rPr>
        <w:t xml:space="preserve">Quelle: </w:t>
      </w:r>
      <w:r>
        <w:t>https://mcp.opencaselaw.ch/entscheid/vd_gerichte_ZI16.034067</w:t>
      </w:r>
    </w:p>
    <w:p>
      <w:r>
        <w:t>FR: VD_GERICHTE ZI16.034067 du 17 avril 2020</w:t>
      </w:r>
    </w:p>
    <w:p>
      <w:r>
        <w:t>IT: VD_GERICHTE ZI16.034067 del 17 aprile 2020</w:t>
      </w:r>
    </w:p>
    <w:p>
      <w:pPr>
        <w:pStyle w:val="Heading2"/>
      </w:pPr>
      <w:r>
        <w:t>Erwägungen</w:t>
      </w:r>
    </w:p>
    <w:p>
      <w:r>
        <w:rPr>
          <w:b/>
        </w:rPr>
        <w:t>E. 6</w:t>
      </w:r>
    </w:p>
    <w:p>
      <w:r>
        <w:t>a) En définitive, la demande formée par Z.________ contre F.________ doit être rejetée, dans la mesure où elle est recevable. b) La procédure étant gratuite (art. 73 al. 2 LPP), il ne sera pas perçu de frais de justice. c) Bien que F.________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d) La demanderesse bénéficie en outre, au titre de l’assistance judiciaire, de la commission d’office d’un avocat en la personne de Me David Métille (art. 118 al. 1 let. c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[et b] RAJ [règlement sur</w:t>
      </w:r>
    </w:p>
    <w:p>
      <w:r>
        <w:t>- 29 - l’assistance judiciaire en matière civile du 7 décembre 2010 ; BLV 211.02.3]). Me David Métille a produit sa liste des opérations le 13 mars 2020, totalisant quarante-six heures et vingt minutes de travail et 456 fr. 15 de débours. Après examen des opérations effectuées, il apparaît que le temps affecté à certains postes est excessif. Ainsi, Me Métille a indiqué s’être entretenu avec sa cliente à vingt-deux reprises et y avoir consacré douze heures et cinquante-cinq minutes, sans compter la quarantaine de courriels envoyés à sa cliente auxquels il a consacré à chaque fois entre cinq et quinze minutes. Le temps affecté à ces opérations est excessif, de sorte qu’il se justifie de retrancher six heures à ce titre. Partant, pour les années 2016-2017, les heures de travail réalisées sont diminuées de trois heures, et il y a lieu de prendre en considération un total de dix-sept heures et cinq minutes effectuées par Me Métille, au tarif horaire de 180 fr., soit 3'075 fr., montant auquel s’ajoute la TVA de 8 % par 246 fr., pour un total de 3'321 francs. Il convient en outre d’ajouter un montant forfaitaire de débours par 5 % du défraiement hors taxe (art. 3bis al. 1 RAJ), soit 153 fr. 75 de débours, plus la TVA de 8 %, à savoir 166 fr. 05. Concernant les années 2018 à 2020, les heures de travail réalisées sont diminuées de trois heures, et il y a lieu de prendre en considération un total de vingt-trois heures et quinze minutes effectuées par Me Métille, au tarif horaire de 180 fr., soit 4’185 fr., plus la TVA de 7.7 % par 322 fr. 25, soit 4'507 fr. 25. Il convient encore de tenir compte d’une somme de 209 fr. 25 pour les débours, plus la TVA de 7.7 %, soit 225 fr. 35. L’indemnité totale est donc arrêtée à 8'219 fr. 65 (3'321 fr. + 166 fr. 05 + 4'507 fr. 25 + 225 fr. 35), débours et TVA compris. La rémunération de l’avocat d’office est provisoirement supportée par le canton, la demanderesse étant rendue attentive au fait</w:t>
      </w:r>
    </w:p>
    <w:p>
      <w:r>
        <w:t>- 30 - qu’elle est tenue d’en rembourser le montant dès qu’elle sera en mesure de le faire (art. 123 al. 1 CPC, applicable par renvoi de l’art. 18 al. 5 LPA- 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