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ZI16.022744 vom 8. Mai 2020</w:t>
      </w:r>
    </w:p>
    <w:p>
      <w:r>
        <w:t>VD Tribunal cantonal, 2020-05-08, FR</w:t>
      </w:r>
    </w:p>
    <w:p>
      <w:r>
        <w:rPr>
          <w:b/>
        </w:rPr>
        <w:t xml:space="preserve">Quelle: </w:t>
      </w:r>
      <w:r>
        <w:t>https://mcp.opencaselaw.ch/entscheid/vd_gerichte_ZI16.022744</w:t>
      </w:r>
    </w:p>
    <w:p>
      <w:r>
        <w:t>FR: VD_GERICHTE ZI16.022744 du 8 mai 2020</w:t>
      </w:r>
    </w:p>
    <w:p>
      <w:r>
        <w:t>IT: VD_GERICHTE ZI16.022744 del 8 maggio 2020</w:t>
      </w:r>
    </w:p>
    <w:p>
      <w:pPr>
        <w:pStyle w:val="Heading2"/>
      </w:pPr>
      <w:r>
        <w:t>Erwägungen</w:t>
      </w:r>
    </w:p>
    <w:p>
      <w:r>
        <w:rPr>
          <w:b/>
        </w:rPr>
        <w:t>E. 4</w:t>
      </w:r>
    </w:p>
    <w:p>
      <w:r>
        <w:t>Le litige porte en l’occurrence sur le droit du demandeur à des prestations d’invalidité de la prévoyance professionnelle, singulièrement la date à laquelle a débuté au sens de la LPP l’incapacité de travail en lien de connexité matériel et temporel avec l’invalidité.</w:t>
      </w:r>
    </w:p>
    <w:p>
      <w:r>
        <w:t>- 13 -</w:t>
      </w:r>
    </w:p>
    <w:p>
      <w:r>
        <w:rPr>
          <w:b/>
        </w:rPr>
        <w:t>E. 5</w:t>
      </w:r>
    </w:p>
    <w:p>
      <w:r>
        <w:t>a) Aux termes de l'art. 2 al. 1bis LPP (en vigueur jusqu'au 31 décembre 2004), les bénéficiaires d'indemnités journalières de l'assurance-chômage sont soumis à l'assurance obligatoire en ce qui concerne les risques de décès et d'invalidité. Selon l'art. 60 LPP, l'institution supplétive est une institution de prévoyance (al. 1). Elle est tenue d'affilier l'assurance-chômage et de réaliser la couverture obligatoire des bénéficiaires d'indemnités journalières annoncés par cette assurance (al. 2 let. e). Selon l'article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Conformément à l'art. 26 al. 1 LPP, les dispositions de la LAI (loi fédérale du 19 juin 1959 sur l’assurance- invalidité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w:t>
      </w:r>
    </w:p>
    <w:p>
      <w:r>
        <w:t>- 14 - force contraignante vaut aussi en ce qui concerne la naissance du droit à la rente, par conséquent également pour la détermination du moment à partir duquel la capacité de travail de l'assuré s'est détériorée d'une manière sensible (ATF 129 V 150 consid. 2.5 ; 123 V 269 consid. 2a ;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136 V 65 consid. 3.2 ; 120 V 106 consid. 3c). Si l'institution de prévoyance adopte une définition de l'invalidité qui ne concorde pas avec celle de l'assurance-invalidité, il lui appartient de statuer librement, selon ses propres règles, sans être liée par l'estimation de cette dernière (ATF 138 V 409 consid. 3.1 ; TF 9C_54/2008 du 9 octobre 2008 consid. 3.1). De plus, l’assureur qui rend une décision touchant l’obligation d’un autre assureur d’allouer des prestations est tenu de lui en communiquer un exemplaire. Cet autre assureur dispose des mêmes voies de droit que l’assuré (art. 49 al. 4 LPGA).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Une brève période de rémission ne suffit pas pour</w:t>
      </w:r>
    </w:p>
    <w:p>
      <w:r>
        <w:t>- 15 -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120 V 112 consid. 2c/aa). Pour apprécier la connexité temporelle,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 TF 9C_714/2017 du 6 septembre 2018 consid. 6.1). c) Selon l'art. 2 LPP, les bénéficiaires d'indemnités journalières de l'assurance-chômage sont soumis à l'assurance obligatoire en ce qui concerne les risques de décès et d'invalidité (al. 1bis, introduit dans la loi lors de la modification de la loi sur l'assurance-chômage du 23 juin 1995, entrée en vigueur le 1er juillet 1997 ; actuellement : al. 3, suite à la 1re révision de la LPP en vigueur depuis le 1er janvier 2005). En vertu de l'art.</w:t>
      </w:r>
    </w:p>
    <w:p>
      <w:r>
        <w:rPr>
          <w:b/>
        </w:rPr>
        <w:t>E. 10</w:t>
      </w:r>
    </w:p>
    <w:p>
      <w:r>
        <w:t>février 2014). 8. a) Mal fondée, la demande formée par D.________ contre la S.________, doit par conséquent être rejetée. b) La procédure étant gratuite (art. 73 al. 2 LPP), il ne sera pas perçu de frais de justice. c) Bien 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323 ;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