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ZI16.020699 vom 13. August 2018</w:t>
      </w:r>
    </w:p>
    <w:p>
      <w:r>
        <w:t>VD Tribunal cantonal, 2018-08-13, FR</w:t>
      </w:r>
    </w:p>
    <w:p>
      <w:r>
        <w:rPr>
          <w:b/>
        </w:rPr>
        <w:t xml:space="preserve">Quelle: </w:t>
      </w:r>
      <w:r>
        <w:t>https://mcp.opencaselaw.ch/entscheid/vd_gerichte_ZI16.020699</w:t>
      </w:r>
    </w:p>
    <w:p>
      <w:r>
        <w:t>FR: VD_GERICHTE ZI16.020699 du 13 août 2018</w:t>
      </w:r>
    </w:p>
    <w:p>
      <w:r>
        <w:t>IT: VD_GERICHTE ZI16.020699 del 13 agosto 2018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En définitive, la demande doit être partiellement admise, en ce sens que la défenderesse doit au demandeur, dès le 5 janvier 2015, une rente d’invalidité annuelle de la prévoyance professionnelle surobligatoire de 152'376 fr. ainsi qu’une rente d’invalidité annuelle pour enfant d’invalide en faveur de ses enfants [...] et [...] d’un montant de 30'476 fr. 40 chacune, à payer conformément aux modalités prévues aux art. 8 et 20 du règlement de prévoyance. La défenderesse versera au surplus un intérêt moratoire de 5% l’an à partir du 18 septembre 2015, date du dépôt de la demande en justice, sur les prestations qui sont dues au demandeur.</w:t>
      </w:r>
    </w:p>
    <w:p>
      <w:r>
        <w:rPr>
          <w:b/>
        </w:rPr>
        <w:t>E. 11</w:t>
      </w:r>
    </w:p>
    <w:p>
      <w:r>
        <w:t>a) La procédure étant gratuite (art. 73 al. 2 LPP), il ne sera pas perçu de frais de justice. b) Obtenant gain de cause sur l’essentiel de ses prétentions avec le concours d’un avocat, le demandeur a droit à une indemnité de dépens (art. 55 al. 1 LPA-VD, par renvoi de l’art. 109 al. 1 LPA-VD), à la</w:t>
      </w:r>
    </w:p>
    <w:p>
      <w:r>
        <w:t>- 24 - charge de la défenderesse (art. 55 al. 2 LPA-VD, par renvoi de l’art. 109 al. 1 LPA-VD), qu’il convient de fixer à 4'000 francs.</w:t>
      </w:r>
    </w:p>
    <w:p>
      <w:r>
        <w:t>- 25 -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