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ZI16.006675 vom 19. Juli 2016</w:t>
      </w:r>
    </w:p>
    <w:p>
      <w:r>
        <w:t>VD Tribunal cantonal, 2016-07-19, FR</w:t>
      </w:r>
    </w:p>
    <w:p>
      <w:r>
        <w:rPr>
          <w:b/>
        </w:rPr>
        <w:t xml:space="preserve">Quelle: </w:t>
      </w:r>
      <w:r>
        <w:t>https://mcp.opencaselaw.ch/entscheid/vd_gerichte_ZI16.006675</w:t>
      </w:r>
    </w:p>
    <w:p>
      <w:r>
        <w:t>FR: VD_GERICHTE ZI16.006675 du 19 juillet 2016</w:t>
      </w:r>
    </w:p>
    <w:p>
      <w:r>
        <w:t>IT: VD_GERICHTE ZI16.006675 del 19 luglio 2016</w:t>
      </w:r>
    </w:p>
    <w:p>
      <w:pPr>
        <w:pStyle w:val="Heading2"/>
      </w:pPr>
      <w:r>
        <w:t>Erwägungen</w:t>
      </w:r>
    </w:p>
    <w:p>
      <w:r>
        <w:rPr>
          <w:b/>
        </w:rPr>
        <w:t>E. 4</w:t>
      </w:r>
    </w:p>
    <w:p>
      <w:r>
        <w:t>En se référant aux règles du splitting, le demandeur conclut devant la Cour de céans à ce que le défendeur lui fournisse des certificats concernant l’avoir de prévoyance pour la « part active » après splitting pour les années 2014, 2015 et 2016. Il ne reprend en revanche pas la conclusion en paiement de la somme de 65'748 fr. en raison du revenu raisonnablement exigible qui aurait été comptabilisé à tort. Le défendeur invoque pour sa part l’irrecevabilité de ce grief. Ainsi qu’il a été exposé supra au considérant 1a et b, il s’agit d’examiner ce grief dès lors que le Tribunal fédéral a estimé, d’une manière qui lie la Cour de céans, qu’il était recevable (TF 9C_14/2015 consid. 7). a) Selon l’art. 15 al. 1 OPP 2, si l'assuré est mis au bénéfice d'une rente d'invalidité partielle, l'institution de prévoyance partage l'avoir de vieillesse en une partie correspondant au droit à la rente et en une partie active. Pour un droit à une demi-rente, comme en l’espèce, le partage se fait à raison d’½ pour l’avoir de vieillesse fondé sur l’invalidité partielle (« part passive ») et ½ pour l’avoir de vieillesse actif (« part active »). L'avoir de vieillesse actif est assimilé à celui d'un assuré valide et traité, à la fin des rapports de travail, selon les art. 3 à 5 LFLP ([loi fédérale du 17 décembre 1993 sur le libre passage dans la prévoyance professionnelle vieillesse, survivants et invalidité ; RS 831.42] ; art. 15 al. 2 OPP 2). b) En l’espèce, aux termes de sa demande initiale, l’assuré avait pris une conclusion tendant à la production par le défendeur de certificats annuels pour la part active. Le Fonds de garantie LPP a établi, en date du 18 février 2013, à l’attention du conseil du demandeur, dans le cadre de sa procédure en divorce, une attestation selon laquelle l’avoir de prévoyance professionnelle, soit la prestation de sortie (art. 2 LFLP), au 28 février 2013 s’élevait à 60'083 fr. 60, intérêts LPP inclus. Etant donné ce certificat, le demandeur avait en conséquence retiré la conclusion susmentionnée à l’issue de son écriture du 10 mars 2014.</w:t>
      </w:r>
    </w:p>
    <w:p>
      <w:r>
        <w:t>- 24 - Contrairement à ce que soutient le demandeur, le partage de l’avoir de vieillesse selon l’art. 15 OPP 2 n’a aucune incidence sur le calcul de surindemnisation fondé sur l’art. 24 OPP 2. Comme on l’a vu supra au considérant 3b/bb, pour déterminer s’il y a surindemnisation au sens de cette disposition, il convient toujours de prendre en compte, y compris en cas d’invalidité partielle, l’entier du gain présumé, ainsi que le revenu que peut réaliser l’assuré, y compris pour la part pour laquelle il est considéré comme « valide ». On ne peut donc imputer la « part active » de l’avoir de vieillesse à la capacité de gain restante de l’assuré. Pour autant qu’elles soient maintenues, les conclusions en paiement de la somme de 65'748 fr. prises par le demandeur devant le Tribunal fédéral doivent donc être rejetées.</w:t>
      </w:r>
    </w:p>
    <w:p>
      <w:r>
        <w:rPr>
          <w:b/>
        </w:rPr>
        <w:t>E. 5</w:t>
      </w:r>
    </w:p>
    <w:p>
      <w:r>
        <w:t>Reste à examiner la conclusion tendant à la délivrance de certificats pour la « part active », soit celle qui n’a pas donné lieu à l’invalidité partielle. a) Selon l’art. 86b LPP, l’institution de prévoyance renseigne chaque année ses assurés de manière adéquate sur leurs droits aux prestations, le salaire coordonné, le taux de cotisation et l’avoir de vieillesse. Le devoir d'information consacré par cette disposition concerne la situation personnelle concrète de la personne assurée en matière de prévoyance, afin, d'une part, de lui permettre de vérifier en tout temps l'état et l'évolution de sa situation individuelle de prévoyance et, d'autre part, de pouvoir se faire une idée de l'ensemble des activités de son institution de prévoyance (Message du Conseil fédéral relatif à la révision de la loi fédérale sur la prévoyance professionnelle vieillesse, survivants et invalidité du 1er mars 2001 ; FF 2000 2495, 2536 ; voir également ATF 136 V 331 consid. 4.2). b) En l’espèce, il est constant que le demandeur est au bénéfice d’une rente minimale d’invalidité versée par l’institution de</w:t>
      </w:r>
    </w:p>
    <w:p>
      <w:r>
        <w:t>- 25 - prévoyance fondée sur un degré d’invalidité de 50% dès le 26 octobre 1996. Dès cette date, l’avoir de vieillesse du recourant a donc été partagé par moitié, conformément à la teneur de l’art. 15 OPP 2 qui était alors en vigueur (RO 1984 543 ; RO 1996 3952), entre une « part passive » et une « part active ». On ne voit dès lors pas quel motif empêcherait l’assuré d’obtenir des renseignements de la part de prévoyance sur l’état de sa « part active ». On relève d’ailleurs que, dans le cadre de la procédure de divorce de l’assuré, le défendeur a été en mesure de fournir au conseil du demandeur des renseignements sur l’état de cette « part active », intitulée « compte d’épargne » (cf. pièce 128 du dossier du défendeur). c) Il convient dès lors de faire droit à la conclusion du demandeur en ce qui concerne la « part active » et de contraindre le défendeur à lui fournir les renseignements auxquels il a droit en application de l’art. 86b LPP.</w:t>
      </w:r>
    </w:p>
    <w:p>
      <w:r>
        <w:rPr>
          <w:b/>
        </w:rPr>
        <w:t>E. 6</w:t>
      </w:r>
    </w:p>
    <w:p>
      <w:r>
        <w:t>Le demandeur conclut à l’allocation d’une indemnité de 18'965 fr. à la charge du défendeur à titre de dépens pour l’intégralité de la procédure conduite devant la Cour des assurances sociales, soit celle ayant abouti au jugement du 19 novembre 2014, ainsi que la présente. Au vu des considérants de l’arrêt du Tribunal fédéral, il se justifier de revoir également l’allocation des dépens pour la procédure cantonale. a) Selon l’art. 55 LPA-VD (loi vaudoise du 28 octobre 2008 sur la procédure administrative ; RSV 173.36), l'autorité alloue une indemnité à la partie qui obtient totalement ou partiellement gain de cause, en remboursement des frais qu'elle a engagés pour défendre ses intérêts. La partie qui n’obtient que partiellement gain de cause a droit à des dépens réduits.</w:t>
      </w:r>
    </w:p>
    <w:p>
      <w:r>
        <w:t>- 26 - A teneur de l’art. 11 TFJDA (Tarif du 28 avril 2015 des frais judiciaires et des dépens en matière administrative, RSV 173.36.5.1), les honoraires sont fixés d’après l’importance et la complexité du litige, sans égard à la valeur litigieuse, et sont en règle générale compris entre 500 et 10'000 francs. b) In casu, le jugement du 19 novembre 2014 avait alloué au demandeur un montant de 2'000 fr. correspondant à des dépens réduits, celui-ci n’ayant obtenu que partiellement gain de cause. Il convient toutefois de tenir compte du fait que, suite au renvoi de l’affaire par le Tribunal fédéral, le demandeur obtient entièrement gain de cause sur la question principale de la surindemnisation. Il n’obtient toutefois que toujours partiellement l’allocation des conclusions prises dans sa demande initiale déposée le 18 juin 2013. c) En définitive, compte tenu de l’ampleur et de la complexité de la procédure, une indemnité de 4'000 fr. paraît appropriée pour indemniser le demandeur pour l’intégralité de la procédure menée devant la Cour de céans, montant dont il conviendra de déduire celui de 2'000 fr déjà alloué par le jugement du 19 novembre 2014. d) Quant au défendeur, il n’a pas droit à des dépens en sa qualité d’assureur de la prévoyance professionnelle et ne prétend du reste pas à une telle indemnité (ATF 126 V 143).</w:t>
      </w:r>
    </w:p>
    <w:p>
      <w:r>
        <w:rPr>
          <w:b/>
        </w:rPr>
        <w:t>E. 7</w:t>
      </w:r>
    </w:p>
    <w:p>
      <w:r>
        <w:t>La procédure étant en principe gratuite en matière de litiges concernant la prévoyance professionnelle (art. 73 al. 2 LPP),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