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ZI14.047975 vom 14. November 2016</w:t>
      </w:r>
    </w:p>
    <w:p>
      <w:r>
        <w:t>VD Tribunal cantonal, 2016-11-14, FR</w:t>
      </w:r>
    </w:p>
    <w:p>
      <w:r>
        <w:rPr>
          <w:b/>
        </w:rPr>
        <w:t xml:space="preserve">Quelle: </w:t>
      </w:r>
      <w:r>
        <w:t>https://mcp.opencaselaw.ch/entscheid/vd_gerichte_ZI14.047975</w:t>
      </w:r>
    </w:p>
    <w:p>
      <w:r>
        <w:t>FR: VD_GERICHTE ZI14.047975 du 14 novembre 2016</w:t>
      </w:r>
    </w:p>
    <w:p>
      <w:r>
        <w:t>IT: VD_GERICHTE ZI14.047975 del 14 novembre 2016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Sur le vu de ce qui précède, la demande formée le 28 novembre 2014 par la demanderesse à l’encontre de la défenderesse doit être admise. Sous déduction des rentes déjà versées, la demanderesse a droit à compter du 20 avril 2011 – le droit aux indemnités journalières perte de gain en cas de maladie s’étant terminé le 19 avril 2011 (art. 3.13 al. 3 du règlement de l’Institution de prévoyance G.________, dans sa teneur en vigueur à partir du 1er janvier 2009) – à une rente réglementaire entière d’invalidité, dont le montant annuel s’élève à 25'252 fr. (selon certificat de prévoyance 2009). La défenderesse versera au surplus un intérêt moratoire à partir du 28 novembre 2014, date de la demande en justice, sur les prestations qui sont dues à la demanderesse ; le taux de l’intérêt est fixé à 5% en l’absence de dispositions réglementaires de la défenderesse sur ce point (cf. ATF 119 V 131 consid. 4c).</w:t>
      </w:r>
    </w:p>
    <w:p>
      <w:r>
        <w:rPr>
          <w:b/>
        </w:rPr>
        <w:t>E. 11</w:t>
      </w:r>
    </w:p>
    <w:p>
      <w:r>
        <w:t>a) La procédure étant gratuite (art. 73 al. 2 LPP), il ne sera pas perçu de frais de justice. b) La demanderesse, qui obtient gain de cause avec l’assistance d’un mandataire professionnel, a droit à des dépens, fixés à</w:t>
      </w:r>
    </w:p>
    <w:p>
      <w:r>
        <w:t>- 24 - 3'000 fr. et mis à la charge de la défenderesse (art. 55 LPA-VD, applicable par analogie en vertu de l’art. 109 al. 1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