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ZI13.041124 vom 8. Mai 2015</w:t>
      </w:r>
    </w:p>
    <w:p>
      <w:r>
        <w:t>VD Tribunal cantonal, 2015-05-08, FR</w:t>
      </w:r>
    </w:p>
    <w:p>
      <w:r>
        <w:rPr>
          <w:b/>
        </w:rPr>
        <w:t xml:space="preserve">Quelle: </w:t>
      </w:r>
      <w:r>
        <w:t>https://mcp.opencaselaw.ch/entscheid/vd_gerichte_ZI13.041124</w:t>
      </w:r>
    </w:p>
    <w:p>
      <w:r>
        <w:t>FR: VD_GERICHTE ZI13.041124 du 8 mai 2015</w:t>
      </w:r>
    </w:p>
    <w:p>
      <w:r>
        <w:t>IT: VD_GERICHTE ZI13.041124 del 8 maggio 2015</w:t>
      </w:r>
    </w:p>
    <w:p>
      <w:pPr>
        <w:pStyle w:val="Heading2"/>
      </w:pPr>
      <w:r>
        <w:t>Erwägungen</w:t>
      </w:r>
    </w:p>
    <w:p>
      <w:r>
        <w:rPr>
          <w:b/>
        </w:rPr>
        <w:t>E. 5</w:t>
      </w:r>
    </w:p>
    <w:p>
      <w:r>
        <w:t>juillet 1987 qui étaient à l’origine de l’incapacité de travail attestée dès le 23 juillet 2002. De plus, l’étude de la chronologie des événements montrait clairement que le rapport de connexité temporelle avait été interrompu, dès lors qu’il avait été en mesure d’exercer une activité lucrative à temps complet durant plus de quatre ans, sans la moindre interruption. La défenderesse était par conséquent tenue de le mettre au bénéfice de ses prestations à la suite de son incapacité de travail survenue le 23 juillet 2002. b) Dans sa réponse du 29 novembre 2013, la défenderesse a conclu au rejet de la demande. Selon elle, il ressortait des faits de la cause que le demandeur présentait une diminution de la capacité fonctionnelle de rendement dans la profession exercée jusque-là d’au moins 20 % depuis l’année 1992, moment auquel le versement de la rente de l’assurance-accidents avait débuté. D’après les divers rapports d’employeur et les documents médicaux versés au dossier, cette diminution était manifeste et nécessitait des mesures de formation et de réadaptation. L’incapacité de travail à l’origine de l’invalidité n’était donc pas survenue au cours de la période où le demandeur était assuré auprès d’elle. c) Dans sa réplique du 6 janvier [recte : février] 2014, le demandeur a persisté dans l’intégralité de ses conclusions. En réponse à l’argumentation développée par la défenderesse, il a expliqué que selon la jurisprudence, une capacité résiduelle de travail de 80 % dans une activité adaptée suffisait pour permettre la rupture du lien de connexité temporelle. Or, immédiatement avant la survenance de son incapacité de travail le 23 juillet 2002, il présentait une capacité de travail de 100 % dans une activité adaptée et réalisait, dans le cadre de cette activité adaptée, un revenu qui excluait le droit à une rente de la prévoyance</w:t>
      </w:r>
    </w:p>
    <w:p>
      <w:r>
        <w:t>- 6 - professionnelle, si bien que le rapport de connexité temporelle entre l’accident du 5 juillet 1987 et l’incapacité de travail dès le 23 juillet 2002 était rompu. Le fait qu’il bénéficiait d’une rente d’invalidité de l’assurance- accidents de 20 % au moment de la survenance de l’incapacité de travail à l’origine de l’invalidité ne suffisait pas à nier une rupture du rapport de connexité temporelle. Au surplus, il n’y avait pas de rapport de connexité matérielle, puisque les pathologies à la base de l’invalidité actuelle n’étaient pas consécutives à l’accident de 1987 et que le tableau clinique de 2002 ne se chevauchait pas avec celui de 1987. d) Dans sa duplique du 27 mars 2014, la défenderesse a maintenu les conclusions prises dans sa réponse du 29 novembre 2013. Si elle admettait que le demandeur avait eu pendant quelques périodes des occupations à 100 %, il ressortait du dossier qu’à partir de son accident de 1987, l’intéressé avait montré des limites dans ses performances, soit qu’il n’avait pas pu accéder à des examens théoriques, soit que son salaire ne correspondait pas à son rendement. Dans ces conditions, l’assuré ne pouvait pas prétendre que la rente d’invalidité de l’assurance-accidents de 20 % n’avait aucune incidence sur sa situation professionnelle. Quant aux diagnostics qui avaient des répercussions sur la capacité de travail du demandeur – à savoir un traumatisme crânio-cérébral, des troubles de concentration résiduels, des lésions aux genoux, un état dépressif, ainsi qu’une surdité de perception et des acouphènes –, ils étaient tous présents avant l’affiliation de l’intéressé à la défenderesse. e) En date du 12 août 2014, un délai a été imparti à la défenderesse pour consulter les dossiers de l’assurance-invalidité et de l’assurance-accidents produits dans l’intervalle, ainsi que pour formuler d’éventuelles déterminations. f) Dans ses déterminations du 3 septembre 2014, la défenderesse a maintenu ses conclusions. Se référant aux dossiers de l’assurance-invalidité et de l’assurance-accidents, elle a réitéré son affirmation selon laquelle les limites de santé existaient déjà au moment où le demandeur avait été engagé par l’entreprise J.________ SA.</w:t>
      </w:r>
    </w:p>
    <w:p>
      <w:r>
        <w:t>- 7 - g) Le 25 septembre 2014, le demandeur a formulé des observations complémentaires. h) En réponse à cette écriture, la défenderesse a déposé, le 19 novembre 2014, d’ultimes déterminations.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w:t>
      </w:r>
    </w:p>
    <w:p>
      <w:r>
        <w:rPr>
          <w:b/>
        </w:rPr>
        <w:t>E. 6</w:t>
      </w:r>
    </w:p>
    <w:p>
      <w:r>
        <w:t>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La valeur litigieuse étant manifestement supérieure à 30'000 fr., la cause doit être</w:t>
      </w:r>
    </w:p>
    <w:p>
      <w:r>
        <w:t>- 8 - tranchée par une cour composée de trois magistrats (art. 83c al. 1 LOJV [loi vaudoise d’organisation judiciaire du 12 décembre 1979 ; RSV 173.01]) et non par un juge unique (art. 94 al. 1 let. a a contrario et 109 al. 1 LPA- VD). 2. a) Selon l’art. 23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trois-quarts de rente s’il est invalide à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RS 831.20 ;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w:t>
      </w:r>
    </w:p>
    <w:p>
      <w:r>
        <w:t>- 9 - prestations au sens de l’art. 26 al. 3 LPP (ATF 136 V 65 consid. 3.1,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Celle-ci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En effet, l’institution de prévoyance ne saurait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w:t>
      </w:r>
    </w:p>
    <w:p>
      <w:r>
        <w:t>- 10 -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arrêt TF 9C_297/2010 du 23 septembre 2010 consid. 2.1, in SVR 2011 BVG n° 14 p. 51 et la référence citée). Le fait que l’assuré soit en mesure de réaliser un revenu excluant le droit à une rente n’apparaît déterminant que si l’intéressé dispose dans une activité raisonnablement exigible (autre que sa profession habituelle) d’une capacité de travail (presque) entière. En d’autres termes, la relation de</w:t>
      </w:r>
    </w:p>
    <w:p>
      <w:r>
        <w:t>- 11 -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w:t>
      </w:r>
    </w:p>
    <w:p>
      <w:r>
        <w:t>- 12 -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3. En l’espèce, il n’est pas contesté que le demandeur présente un tableau clinique (lésions aux genoux, troubles de la concentration, troubles de l’ouïe et état anxio-dépressif) qui ne lui permet plus actuellement d’exercer une activité lucrative sur le marché du travail. L’objet du litige porte uniquement sur la question de savoir si la défenderesse est tenue d’allouer des prestations. 4. a) Il convient en premier lieu d’examiner s’il existe un rapport de connexité matérielle entre l’incapacité de travail survenue à la suite de l’accident de 1987 et celle qui s’est manifestée durant les rapports de prévoyance qui liaient les parties. Il faut plus particulièrement déterminer si les modifications de l’état de santé du demandeur résultent de l’aggravation des séquelles consécutives à l’accident ou d’une nouvelle affection. b) La réponse à cette question dépend de l’appréciation de la documentation médicale versée au dossier.</w:t>
      </w:r>
    </w:p>
    <w:p>
      <w:r>
        <w:t>- 13 - aa) Dans le cadre de l’accident dont il a été la victime, le demandeur a subi un polytraumatisme avec traumatisme crânio-cérébral, fracture du poignet droit, fracture du tiers distal du radius gauche avec luxation du carpe et arrachement de la styloïde cubitale, amputation traumatique de l’extrémité de l’index droit et fracture comminutive du tiers proximal du tibia gauche (cf. rapport de sortie du Dr C.________ du 14 septembre 1987). bb) Dans le courant de l’hiver 1988, le demandeur s’est plaint de limitations fonctionnelles dues à des douleurs aux deux genoux, ainsi que d’une diminution de la force du poignet droit (rapport du Dr Z.________ , spécialiste en chirurgie orthopédique, du 2 mars 1988), et a séjourné, du 18 avril au 11 mai 1988, à la Clinique BB.________. A la sortie de cet établissement, il a été retenu que les séquelles de l’accident ne permettaient plus au demandeur d’exercer à plein temps sa profession de maçon (rapport du 19 mai 1988 des Drs U.________ et Y.________, médecins auprès de la Clinique BB.________). Le 23 septembre 1988, la CNA a fait état de la persistance de difficultés au niveau du poignet droit et du genou droit (rapport du Dr AA.________, médecin d’arrondissement de la CNA Lausanne, du 23 septembre 1988). cc) A la demande de l’assurance-invalidité, le demandeur a fait l’objet, les 9 et 14 novembre 1989, d’un examen neuropsychologique. Celui-ci mettait en évidence, chez une personne triste, collaborante et non-ralentie, de bons résultats aux différentes épreuves testant les capacités cognitives (logo-practo-gnosiques, mnésiques, frontales et du raisonnement) ; il existait par contre des difficultés aux épreuves de concentration et de rendement soutenu. Ceci témoignait d’une bonne évolution au niveau neuropsychologique, mais évoquait une évolution vers un état anxio-dépressif pour lequel il convenait d’envisager une approche psychothérapeutique (rapport non daté du Prof. O.________, médecin auprès de la Division spéciale de neuropsychologie du Centre hospitalier S.________. Dans un rapport du 31 mai 1990, le Dr F.________, spécialiste en neurologie, a indiqué que le demandeur présentait des céphalées post-</w:t>
      </w:r>
    </w:p>
    <w:p>
      <w:r>
        <w:t>- 14 - traumatiques et un syndrome post-commotionnel dans lequel s’intégrait un état dépressif (voir également les rapports du Dr G.________, médecin généraliste traitant du demandeur, des 30 juin et 7 novembre 1990, ainsi que du 7 juin 1991). dd) Victime de vertiges sur son lieu de travail (cf. rapport du Dr G.________ du 18 février 1994), le demandeur s’est vu reconnaître une période d’incapacité de travail du 20 décembre 1993 au 2 janvier 1994, période que la CNA a indemnisée. ee) A la demande de l’assurance-invalidité, le demandeur a fait l’objet, le 10 janvier 1995, d’un nouvel examen. Selon le rapport non daté établi notamment par le Prof. O.________, si les plaintes ne concernaient pas en premier lieu les aspects neuropsychologiques, il fallait néanmoins constater des problèmes liés aux séquelles du traumatisme (troubles du sommeil, maux de tête, fatigabilité accrue, troubles de la concentration et de la mémoire) et, à l’examen, des résultats à la limite inférieure de la norme, voire déficitaires, notamment pour le raisonnement et l’apprentissage mnésique. Les déficits liés au traumatisme ne constituaient pas l’aspect essentiel de l’inadaptation du demandeur, mais étaient plus probablement à mettre en relation avec des problèmes thymiques. L’assurance-invalidité a fait compléter cette évaluation par une expertise psychiatrique, dont la réalisation a été confiée au Centre P.________. Dans leur rapport du 28 mai 1996, les Drs T.________ et H.________, respectivement spécialiste en psychiatrie et médecin- assistante auprès du centre précité, ont retenu les diagnostics de troubles mentaux spécifiés dus à une lésion cérébrale, de difficultés liées à une enfance malheureuse (changements dans les relations familiales) et d’autres difficultés liées à l’environnement social. Les experts ont souligné que ce n’était pas l’état dépressif qui était problématique, mais les séquelles du polytraumatisme, soit, d’un point de vue psychiatrique, les séquelles neuropsychologiques et notamment l’atteinte frontale. La</w:t>
      </w:r>
    </w:p>
    <w:p>
      <w:r>
        <w:t>- 15 - thymie triste n’apparaissait pas nécessiter un traitement psychothérapeutique. ff) En raison de la présence d’une instabilité massive du genou droit par déficience du croisé antérieur et du croisé postérieur ainsi que d’une lésion de l’angle postéro-externe, le demandeur a fait l’objet d’une arthroscopie le 26 avril 1995, puis d’une plastie des ligaments et du poplité le 28 juin 1995 (rapports du Dr L.________, spécialiste en chirurgie orthopédique, des 19 mai, 12 septembre et 6 novembre 1995, ainsi que des 8 janvier et 15 mars 1996). Il s’est vu reconnaître des périodes d’incapacité de travail, à des taux variables, du 26 avril 1995 au 19 mai 1996, que la CNA a indemnisées. gg) Le 26 juillet 1997, le demandeur a été victime d’un accident de vélo au cours duquel il s’est fracturé la cheville gauche. Cette blessure a été traitée conservativement. hh) Dans ses rapports des 28 janvier 1998 et 10 février 1999, le Dr L.________ a indiqué que la situation au niveau du genou droit paraissait désormais stabilisée. Concernant les douleurs au pied gauche, il convenait de temporiser, l’évolution devant être spontanément favorable. ii) Se plaignant de douleurs au genou droit, le demandeur a repris contact avec le Dr L.________ au milieu de l’année 2001. Dans son rapport du 5 juillet 2001, ce médecin a exposé qu’il n’y avait pas d’aggravation radiologique de la situation. Les douleurs apparaissaient essentiellement lors de stations débout prolongées ou d’efforts physiques plus conséquents. Sur le plan thérapeutique, il n’y avait pas de solution spécifique. Il convenait que le travail soit mieux adapté avec des possibilités de le faire partiellement en position assise, ce qui paraissait difficile dans l’entreprise où l’intéressé se trouvait actuellement (voir également le rapport du 18 septembre 2001 du Dr K.________, spécialiste en chirurgie orthopédique et médecin-conseil de la CNA, ainsi que le rapport du Dr L.________ du 10 juillet 2002).</w:t>
      </w:r>
    </w:p>
    <w:p>
      <w:r>
        <w:t>- 16 - jj) Souffrant également de problèmes d’ouïe, le demandeur a consulté le Service d’oto-rhino-laryngologie et de chirurgie cervico-faciale du Centre hospitalier S.________. Dans un rapport du 12 octobre 2001, le Dr Q.________, médecin associé, a indiqué que l’examen montrait une surdité de perception légère bilatérale en scotome d’origine cochléaire, compatible avec une exposition professionnelle aux bruits. La perte auditive était associée à un acouphène neurosensoriel actuellement décompensé et invalidant. kk) Dans un rapport du 26 octobre 2002, le Dr B.________, psychiatre traitant du demandeur, a expliqué que celui-ci présentait notamment de grosses difficultés mnésiques et d’importantes difficultés de concentration rendant difficiles l’adaptation et l’apprentissage, un rétrécissement de la pensée et un ralentissement, une thymie triste et des épisodes d’angoisse, un fort sentiment d’insuffisance et d’incapacité, des troubles importants du sommeil, ainsi qu’un isolement social. ll) Dans un rapport du 1er novembre 2002, le Dr R.________, nouveau médecin généraliste traitant du demandeur, a estimé qu’il serait médicalement indiqué que son patient puisse travailler à 50 % dans une activité physiquement légère, avec une mobilité physique, non bruyante, et ne nécessitant pas de concentration trop importante. mm) A la demande du Dr R.________, le demandeur a fait l’objet, les 23 et 30 décembre 2002, d’un nouvel examen neuropsychologique à la Division autonome de neuropsychologie du Centre hospitalier S.________. Selon le rapport établi à une date indéterminée notamment par le Prof. N.________, médecin-chef, le demandeur présentait des déficits sévères en mémoire verbale, des troubles attentionnels et des difficultés exécutives associées à un ralentissement. Ce tableau constituait une aggravation des troubles cognitifs chez un patient présentant un probable état anxio-dépressif. nn) A l’issue d’une mesure d’évaluation et d’observation mise en place conjointement par l’assurance-chômage et l’assurance-invalidité</w:t>
      </w:r>
    </w:p>
    <w:p>
      <w:r>
        <w:t>- 17 - au début de l’année 2003, l’office AI a dressé, le 25 juillet 2003, un rapport, dont il est ressorti notamment ce qui suit : « Pour l’heure, s’il peut poursuivre son activité au sein des V.________, il n’est pas exclu qu’à moyen ou long terme, [l’assuré] soit à même de reprendre le travail auprès d’un atelier de mécanique dans des activités simples. Toutefois, selon l’avis de l’ensemble des partenaires présents au bilan, M. X.________ ne peut envisager actuellement qu’un travail occupationnel dans une structure protégée. Nous pouvons donc dire que sa capacité de travail, en regard des travaux liés à l’économie, est nulle. Il s’agit-là d’une observation professionnelle, mais qui va tout à fait dans le sens des éléments médicaux figurant au dossier. Du point de vue physique, le Dr L.________, dans son rapport du</w:t>
      </w:r>
    </w:p>
    <w:p>
      <w:r>
        <w:rPr>
          <w:b/>
        </w:rPr>
        <w:t>E. 10</w:t>
      </w:r>
    </w:p>
    <w:p>
      <w:r>
        <w:t>juillet 2002 relève, que notre assuré devrait pouvoir être reclassé dans une activité assise, en raison de l’atteinte [à] ses membres inférieurs, mais que cela risque d’être impossible car le patient souffre de difficultés de concentration importantes, probablement consécutives à son TCC. Ce médecin précise que des travaux physiques répétitifs en position assise sont également difficiles à envisager en raison des séquelles des fractures de ses poignets. Il termine en relevant que l’évolution va se faire dans le sens d’une aggravation. Du point de vue psychique, le Dr B.________, dans son rapport du 26 octobre 2002, relève de grosses difficultés mnésiques et de concentration rendant ses possibilités d’adaptation et d’apprentissage difficiles. Ce praticien, s’il estime qu’une autre activité que celle exercée actuellement peut être exigée, ne se prononce pas sur la capacité effective, mentionnant simplement des travaux légers et une diminution de rendement liée aux limitations physiques et psychologiques. Son médecin traitant, le Dr R.________, mentionne dans son rapport du 1er novembre 2002, qu’il serait médicalement indiqué que M. X.________ puisse travailler à 50 % dans une activité physiquement légère, avec une mobilité physique, non bruyante et ne nécessitant pas une concentration trop importante. Nous constatons là que nous sommes davantage sous l’angle de mesures thérapeutiques que dans une activité professionnelle effective. En conclusion, nous constatons que les éléments relevés par les différents médecins qui ont pris en charge notre assuré, corroborent parfaitement l’évaluation et l’observation professionnelles effectuées aux V.________. M. X.________ n’a effectivement plus aujourd’hui la possibilité d’exercer une activité professionnelle liée à l’économie. Comme mentionné précédemment, nous sommes sous l’angle du travail occupationnel au sein d’une structure protégée. » c) II ressort des pièces médicales versées au dossier que l’incapacité de travail survenue pendant les rapports de prévoyance est</w:t>
      </w:r>
    </w:p>
    <w:p>
      <w:r>
        <w:t>- 18 - multifactorielle (aggravation des douleurs aux genoux, problèmes d’ouïe, état anxio-dépressif et troubles de la concentration). Si certaines affections ne peuvent clairement pas être mises en relation avec l’accident survenu en 1987, telles que les troubles anxio-dépressifs ou de l’ouïe, cela n’est visiblement pas le cas des problèmes aux genoux et des troubles de la concentration, dont on peut constater, à la lecture chronologique de la documentation médicale, qu’ils ont accompagné le demandeur depuis son accident jusqu’à ce jour. Dans la mesure où ce sont ces deux dernières atteintes qui affectent principalement la capacité de travail du demandeur (voir à ce propos les rapports établis par les Drs L.________ et B.________), il convient d’admettre qu’il existe une relation de connexité matérielle entre l’accident de 1987 et l’incapacité de travail survenue pendant les rapports de prévoyance. 5. Cela étant, il faut encore examiner si, comme le prétend le demandeur, le rapport de connexité temporelle a été interrompu entre la période d’incapacité de travail consécutive à son accident et l’incapacité de travail survenue pendant les rapports de prévoyance. Il y a lieu de constater que l’intéressé a présenté, dès la reprise du travail après son accident en 1987, des déficits physiques et de concentration qui se sont manifestés de manière plus ou moins importante dans les diverses activités professionnelles qu’il a exercées. Afin que le demandeur puisse pallier ces déficits, l’office Al lui a alloué des mesures d’ordre professionnel, qui lui ont ensuite permis de mettre en valeur sa capacité de travail sur le marché du travail (stages d’observation professionnelle du 1er mars au 28 avril 1989, puis mesure de reclassement au centre I.________ de [...] du 29 avril 1989 au 31 juillet 1992 ; stage d’observation professionnelle auprès de l’entreprise D.________ SA à [...] du 4 novembre au 31 décembre 1996 ; mesure de mise au courant auprès de l’entreprise A.________ Sàrl du 5 au 30 mai 1997 ; mesure de reclassement auprès d’A.________ Sàrl du 2 juin au 31 décembre 1997). A la suite de ces mesures, le demandeur a été capable d’exercer une activité lucrative à plein temps durant deux périodes prolongées, sans que celles-ci soient interrompues par des incapacités de travail de longue durée. La première s’est étendue du 1er août 1992 au 26 avril 1995 au service de la société</w:t>
      </w:r>
    </w:p>
    <w:p>
      <w:r>
        <w:t>- 19 - M.________ SA (avec une période d’incapacité de travail du 20 décembre 1993 au 2 janvier 1994) et la seconde du 1er janvier 1998 au printemps de l’année 2002 auprès des entreprises A.________ Sàrl et J.________ SA. Quoi qu’en dise la défenderesse, la durée de ces engagements doit, malgré les difficultés que le demandeur a pu rencontrer à certains moments, être considérée comme suffisamment longue pour interrompre le rapport de connexité temporelle entre l’incapacité de travail antérieure à l’affiliation à la défenderesse et l’invalidité survenue postérieurement à celle-ci. Le fait que le demandeur perçoive depuis le 1er août 1992 une rente d’invalidité de l’assurance-accidents de 20 % importe peu, dès lors qu’il convient de se fonder sur ce que le demandeur a été en mesure d’accomplir dans le cadre d’une activité adaptée. Faute d’indice concret en ce sens, on ne saurait par ailleurs considérer dans le cas d’espèce que les activités exercées par le demandeur consistaient en des tentatives de réinsertion ou reposaient de manière déterminante sur des considérations sociales des employeurs. 6. a) Sur le vu de ce qui précède, la demande formée le 25 septembre 2013 par X.________ à l’encontre de l’institution de prévoyance Fondation de prévoyance E.________ doit être admise dans le sens des conclusions prises dans cette écriture. L’institution de prévoyance Fondation de prévoyance E.________ est par conséquent renvoyée à arrêter le montant des prestations auxquelles le demandeur a droit. Elle fixera les sommes dues en tenant compte d’éventuelles surindemnisations par rapport à l’assurance-invalidité, à l’assurance-accidents et à la perte de gain maladie (cf. art. 34a LPP et 24 OPP2 [ordonnance du 18 avril 1984 sur la prévoyance professionnelle vieillesse, survivants et invalidité ; RS 831.441.1]). b) La procédure étant gratuite (art. 73 al. 2 LPP), il ne sera pas perçu de frais de justice.</w:t>
      </w:r>
    </w:p>
    <w:p>
      <w:r>
        <w:t>- 20 - c) Le demandeur, qui obtient gain de cause avec l’assistance d’un mandataire professionnel, a droit à des dépens, fixés à 3'000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