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ZI13.040125 vom 7. April 2016</w:t>
      </w:r>
    </w:p>
    <w:p>
      <w:r>
        <w:t>VD Tribunal cantonal, 2016-04-07, FR</w:t>
      </w:r>
    </w:p>
    <w:p>
      <w:r>
        <w:rPr>
          <w:b/>
        </w:rPr>
        <w:t xml:space="preserve">Quelle: </w:t>
      </w:r>
      <w:r>
        <w:t>https://mcp.opencaselaw.ch/entscheid/vd_gerichte_ZI13.040125</w:t>
      </w:r>
    </w:p>
    <w:p>
      <w:r>
        <w:t>FR: VD_GERICHTE ZI13.040125 du 7 avril 2016</w:t>
      </w:r>
    </w:p>
    <w:p>
      <w:r>
        <w:t>IT: VD_GERICHTE ZI13.040125 del 7 aprile 2016</w:t>
      </w:r>
    </w:p>
    <w:p>
      <w:pPr>
        <w:pStyle w:val="Heading2"/>
      </w:pPr>
      <w:r>
        <w:t>Erwägungen</w:t>
      </w:r>
    </w:p>
    <w:p>
      <w:r>
        <w:rPr>
          <w:b/>
        </w:rPr>
        <w:t>E. 1</w:t>
      </w:r>
    </w:p>
    <w:p>
      <w:r>
        <w:t>a) Le for des litiges du droit de la prévoyance professionnelle est au siège ou domicile suisse du défendeur ou au lieu de l’exploitation dans laquelle l’assuré a été engagé (cf.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(cf. art. 73 al. 1 LPP). Dans le canton de Vaud, cette compétence est dévolue à la Cour des assurances sociales du Tribunal cantonal (cf. art. 93 let. c LPA-VD [loi cantonale vaudoise du 28 octobre 2008 sur la procédure administrative ; RSV 173.36]). c) L’acte introductif d’instance revêt la forme d’une action (cf. ATF 118 V 158 consid. 1, 117 V 329 consid. 5d, 115 V 224 et 239,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elle a été engagée, est recevable à la forme. Il y a lieu d’entrer en matière. La valeur litigieuse étant manifestement supérieure à 30’000 fr., la cause doit être tranchée par une cour composée de trois magistrats (cf. art. 83c al. 1 LOJV [loi cantonale vaudoise du 12 décembre 1979 d’organisation judiciaire ; RSV 173.01]) et non par un juge unique (cf. art. 94 al. 1 let. a a contrario et 109 al. 1 LPA-VD).</w:t>
      </w:r>
    </w:p>
    <w:p>
      <w:r>
        <w:t>- 15 -</w:t>
      </w:r>
    </w:p>
    <w:p>
      <w:r>
        <w:rPr>
          <w:b/>
        </w:rPr>
        <w:t>E. 2</w:t>
      </w:r>
    </w:p>
    <w:p>
      <w:r>
        <w:t>Sur le fond, le litige porte sur la question de savoir si la demanderesse est en droit de prétendre à des prestations d’invalidité de la prévoyance professionnelle de la part de la défenderesse. Cela dit, il sied de relever que du point de vue temporel, les règles applicables sont, en règle générale, celles qui étaient en vigueur au moment où les faits juridiquement déterminants se sont produits (cf. ATF 139 V 335 consid. 6.2). En vertu de ces principes, les prétentions de la demanderesse doivent être examinées à l’aune de l’ancienne LCP (loi cantonale du 18 juin 1984 sur la Caisse de pensions de l’Etat de Vaud), abrogée suite à l’entrée en vigueur, au 1er janvier 2014, de l’actuelle LCP (loi cantonale du 18 juin 2013 sur la Caisse de pensions de l’Etat de Vaud ; RSV 172.43).</w:t>
      </w:r>
    </w:p>
    <w:p>
      <w:r>
        <w:rPr>
          <w:b/>
        </w:rPr>
        <w:t>E. 3</w:t>
      </w:r>
    </w:p>
    <w:p>
      <w:r>
        <w:t>a) Si une institution de prévoyance reprend – explicitement ou par renvoi – la définition de l’invalidité dans l’AI, elle est en principe liée, lors de la survenance du fait assuré, par l’estimation de l’invalidité des organes de l’AI, sauf lorsque cette estimation apparaît d’emblée insoutenable (cf. ATF 126 V 308 consid. 1 in fine ; cf. consid. 2 non publié in ATF 130 V 501 [TFA B 45/03 du 13 juillet 2004]). Cette force contraignante vaut non seulement pour la fixation du degré d’invalidité (cf. ATF 115 V 208), mais également pour la détermination du moment à partir duquel la capacité de travail de l’assuré s’est détériorée de manière sensible et durable (cf. ATF 129 V 150 consid. 2.5 et 123 V 269 consid. 2a). Pour que l’institution de prévoyance, qui dispose d’un droit de recours propre dans les procédures régies par la LAI, soit liée par l’évaluation de l’invalidité (principe, taux et début du droit) à laquelle ont procédé les organes de l’AI, il faut que l’institution de prévoyance ait été valablement intégrée à la procédure (cf. ATF 129 V 73 consid. 4.2 ; cf. aussi ATF 133 V 67 consid. 4.3.2 et 130 V 270 consid. 3.1). Ce principe souffre toutefois une restriction : si l’institution de prévoyance reste dans le cadre de la décision qui a été prise en matière d’AI, le fait qu’elle n’a pas été intégrée à la procédure AI n’a aucune</w:t>
      </w:r>
    </w:p>
    <w:p>
      <w:r>
        <w:t>- 16 - portée. Dans ce cas, l’assuré doit (sauf si la décision de l’AI apparaît d’emblée insoutenable) se laisser opposer le caractère contraignant des constatations de l’AI, même si l’institution de prévoyance n’a pas participé à la procédure AI (cf. TF 9C_327/2011 du 21 février 2012 consid. 4.2 avec les références citées). b) En l’espèce, l’art. 54 aLCP considère comme définitivement invalide l’assuré qui est durablement incapable, ensuite de maladie ou d’accident, de remplir tout ou partie de sa fonction ou d’une autre fonction de substitution et dont le traitement est réduit ou supprimé à titre définitif. Cette notion, pratiquement, est identique à la notion d’invalidité selon la LAI (cf. TFA B 78/99 du 2 août 2000 consid. 1b ; cf. également ATF 115 V 219 consid. 4b). Les parties ne font en outre pas valoir que la décision de l’OAI-Z.________ fixant l’invalidité de la demanderesse serait insoutenable. Il reste toutefois que la défenderesse n’a pas participé à la procédure AI et que la décision de rente de l’office [du canton de Z.________] ne lui a pas été notifiée. En principe, la CPEV n’est donc pas liée par cette décision à moins d’en avoir repris l’appréciation à son compte – ce qu’elle a fait (cf. consid. 6b infra).</w:t>
      </w:r>
    </w:p>
    <w:p>
      <w:r>
        <w:rPr>
          <w:b/>
        </w:rPr>
        <w:t>E. 4</w:t>
      </w:r>
    </w:p>
    <w:p>
      <w:r>
        <w:t>a) Aux termes de l’art. 23 let. a LPP, ont droit à des prestations d’invalidité les personnes qui sont invalides à raison de 40% au moins au sens de l’AI et qui étaient assurées lorsqu’est survenue l’incapacité de travail dont la cause est à l’origine de l’invalidité. Selon l’art. 10 al. 3 LPP, le salarié demeure assuré auprès de l’ancienne institution de prévoyance pour les risques de décès et d’invalidité durant un mois après la fin des rapports avec l’institution de prévoyance. Il résulte de l’art. 23 LPP que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28 al. 1 let. b LAI (loi fédérale du 19 juin 1959 sur l’assurance-invalidité ; RS 831.20), mais correspond à la survenance de l’incapacité de travail dont la cause est à l’origine de</w:t>
      </w:r>
    </w:p>
    <w:p>
      <w:r>
        <w:t>- 17 - l’invalidité. Les mêmes principes sont applicables en matière de prévoyance plus étendue, à tout le moins en l’absence de dispositions réglementaires ou statutaires contraires (cf. ATF 138 V 409 consid. 6.1 et 123 V 262 consid. 1b). Autrement dit, le droit à des prestations d’invalidité de la prévoyance professionnelle obligatoire suppose que l’incapacité de travail, dont la cause est à l’origine de l’invalidité, soit survenue pendant la durée du rapport de prévoyance (y compris la prolongation prévue à l’art. 10 al. 3 LPP), conformément au principe d’assurance (cf. ATF 135 V 13 consid. 2.6, 134 V 20 consid. 3 et 123 V 262 consid. 1c). Si l’incapacité de travail d’une certaine importance est survenue durant la période pendant laquelle l’intéressé était affilié à une institution de prévoyance, celle-ci est tenue de prester, même si l’invalidité est survenue après la fin des rapports de prévoyance. L’obligation de prester en tant que telle ne prend naissance qu’avec et à partir de la survenance de l’invalidité et non pas déjà avec celle de l’incapacité de travail. La qualité d’assuré doit exister au moment de la survenance de l’incapacité de travail, mais pas nécessairement lors de l’apparition ou de l’aggravation de l’invalidité (cf. ATF 138 V 227 consid. 5.1, 136 V 65 consid. 3.1 et 123 V 262 consid. 1a). Ces principes trouvent aussi application en matière de prévoyance plus étendue, si le règlement de l’institution de prévoyance ne prévoit rien d’autre (cf. ATF 136 V 65 consid. 3.2, 123 V 262 consid. 1b et 120 V 112 consid. 2b). Il n’en va pas autrement dans le cas particulier, tant sous l’angle de la prévoyance professionnelle obligatoire que sous l’angle de la prévoyance plus étendue à défaut de réglementation contraire dans la législation régissant l’activité de la CPEV, singulièrement dans l’aLCP. b)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w:t>
      </w:r>
    </w:p>
    <w:p>
      <w:r>
        <w:t>- 18 - matérielle et temporelle (cf.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(cf. ATF 138 V 409 consid. 6.2 et les références).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(cf. ATF 138 V 409 consid. 6.3 et les références). c)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à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 ne sauraient être pleinement assimilées à des périodes de travail effectif. En ce qui concerne la durée de la capacité de travail interrompant le rapport de connexité temporelle, il est possible de s’inspirer de la règle de</w:t>
      </w:r>
    </w:p>
    <w:p>
      <w:r>
        <w:t>- 19 -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(cf.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(cf. ATF 134 V 20 consid. 3.2.2 et les références ; voir également la définition légale de l’art. 6 LPGA, disposition qui ne s’applique toutefois pas en matière de prévoyance professionnelle). Cette activité doit cependant permettre de réaliser par rapport à l’activité initiale un revenu excluant le droit à une rente (cf. ATF 134 V 20 consid. 5.3). e) Il convient d’examiner d’office et avec le plus grand soin la question de savoir si, malgré la poursuite du versement de son salaire, la personne assurée a présenté une incapacité de travail notable, respectivement dans quelle mesure elle était encore capable de fournir la</w:t>
      </w:r>
    </w:p>
    <w:p>
      <w:r>
        <w:t>- 20 -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(cf. TFA B 45/03 précité consid. 2.2).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(cf. TF 9C_76/2015 du 18 décembre 2015 consid. 2.4 et B 95/06 du 4 février 2008 consid. 3.3 avec les références citées).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(cf. ATF 134 V 20 consid. 3.2.1).</w:t>
      </w:r>
    </w:p>
    <w:p>
      <w:r>
        <w:t>- 21 - f) L’exercice d’une activité permettant de réaliser un revenu excluant le droit à une rente ne suffit pas encore à interrompre la relation de connexité temporelle. Pour admettre l’existence d’une telle interruption, il faut avant tout que la personne concernée ait retrouvé une capacité de travail significative de 80% au moins (en référence au taux de 20% de la diminution de la capacité fonctionnelle de rendement dans la profession exercée jusque-là [cf. TF 9C_297/2010 du 23 septembre 2010 consid. 2.1 et la référence citée, in SVR 2011 BVG n° 14 p. 51]). Le fait que la personne concernée est en mesure de réaliser un revenu excluant le droit à une rente n’apparaît déterminant que si elle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au moins et que celle-ci lui permette de réaliser un revenu excluant le droit à une rente (cf. TF 9C_76/2015 précité consid. 2.5 et 9C_98/2013 du 4 juillet 2013 consid. 4.1 avec les références, in SVR 2014 BVG n° 1 p. 1). g)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 de plusieurs rapports de travail. Un tel résultat ne serait, du point de vue de la protection d’assurance dans la prévoyance professionnelle, pas</w:t>
      </w:r>
    </w:p>
    <w:p>
      <w:r>
        <w:t>- 22 - souhaitable et même choquant pour les cas dans lesquels la maladie se déclare à un moment où la couverture d’assurance fait défaut. C’est pourquoi il convient d’accorder en pareille situation une signification particulière aux circonstances du cas d’espèce (cf. TFA B 63/04 du 28 décembre 2004 consid. 3.3.3 et B 12/03 du 12 novembre 2003 consid. 3.2.1). Le Tribunal fédéral a ainsi admis qu’une capacité de travail de sept mois, respectivement treize – voire seize – mois, devait être considérée comme une simple tentative de reprise du travail et comme n’étant pas à même de rompre le rapport de connexité temporelle (cf. TFA B 22/99 du 6 août 2001 [schizophrénie paranoïde] et B 65/00 du 29 novembre 2001 [sclérose en plaques], cités par Marc Hürzeler in : LPP et LFLP, Jacques-André Schneider / Thomas Geiser / Thomas Gächter [éditeurs], Berne 2010, n° 29 ad art. 23 LPP p. 354). En revanche, une capacité de travail de quatorze mois, respectivement de dix-huit mois, était de nature à rompre la connexité temporelle, même compte tenu du tableau clinique particulier d’une sclérose en plaques, respectivement d’une schizophrénie chronique (cf. TFA B 94/00 du 4 mai 2001 et B 141/05 du 31 janvier 2007, cités par le même auteur).</w:t>
      </w:r>
    </w:p>
    <w:p>
      <w:r>
        <w:rPr>
          <w:b/>
        </w:rPr>
        <w:t>E. 5</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w:t>
      </w:r>
    </w:p>
    <w:p>
      <w:r>
        <w:t>- 23 -</w:t>
      </w:r>
    </w:p>
    <w:p>
      <w:r>
        <w:rPr>
          <w:b/>
        </w:rPr>
        <w:t>E. 6</w:t>
      </w:r>
    </w:p>
    <w:p>
      <w:r>
        <w:t>A l’appui de sa demande, J.________ a invoqué une diminution de sa capacité de travail induite par des troubles urinaires, intestinaux et de marche l’affectant depuis son emploi au [Service] T.________. La défenderesse, pour sa part, a nié toute obligation de prester faute de connexité matérielle et temporelle. a) Sur le plan professionnel, il y a lieu de rappeler que, lorsque sa maladie a été diagnostiquée en 2002, la demanderesse effectuait alors son stage d’avocat, qui s’est déroulé du 1er novembre 2001 au 30 avril 2003 à K.________ (Z.________), et qu’elle a ensuite enchaîné avec un stage au greffe du Tribunal de district de P.________ (Z.________) du 1er mai au 31 octobre 2003. Après avoir obtenu le brevet d’avocat, l’intéressée a travaillé durant six mois, du 28 avril au 15 octobre 2004, pour le compte du Service juridique du Département des finances et des affaires sociales du canton de Z.________, dans le cadre d’un contrat de durée déterminée. Du 3 octobre 2005 au 31 décembre 2008, elle a œuvré au sein de la Fiduciaire S.________ SA, toujours à Z.________. Puis, du 1er février au 30 juin 2009, elle a été employée auprès du [Service] T.________ à M.________ (VD), avant de travailler à la Banque cantonale de Z.________ du 1er septembre au 11 ou 18 novembre 2009 selon les versions. La demanderesse a par ailleurs connu des périodes de chômages en janvier 2009, puis de juillet à août 2009 et enfin de novembre 2009 à décembre 2010. Au niveau médical, on soulignera que dans son rapport du 3 août 2009, le Dr C.________ a indiqué que la demanderesse, après avoir connu plusieurs poussées entre 2002 et 2005, avait été confrontée à de nouvelles poussées en juillet 2008 avec une asthénie et des troubles de la marche, de même qu’en janvier 2009. Il a par ailleurs évoqué l’installation en parallèle d’une pollakiurie avec une diminution de la compliance vésicale sans incontinence, les troubles dus à la vessie spastique s’étant quelque peu améliorés sous anticholinergiques. Ce médecin a également signalé une diminution du périmètre de marche par rapport à l’année précédente. Aux termes d’un rapport du 11 septembre 2009, le Dr</w:t>
      </w:r>
    </w:p>
    <w:p>
      <w:r>
        <w:t>- 24 - R.________ a de son côté fait mention d’épisodes de troubles sensitifs survenus en 2004 puis en avril 2005, puis de troubles de l’équilibre intervenus mi-2008 avant de s’amender progressivement. Il a également relevé l’existence depuis plusieurs années d’une pollakiurie avec des urgences mictionnelles et quelques épisodes de fuites urinaires, mentionnant à cet égard une nette amélioration subjective grâce à la médication introduite. Puis, dans un compte-rendu du 13 janvier 2011, le Dr R.________ a réitéré ses observations sans signaler d’incapacité de travail, relevant uniquement que, lorsqu’il avait vu la demanderesse pour la dernière fois le 10 septembre 2009, cette dernière occupait un emploi à 100%. Toujours en janvier 2011, le Dr O.________ – médecin traitant depuis le 12 mai 2003 – a notamment exposé que l’intéressée avait été en incapacité de travail du 12 août au 12 septembre 2004 à 100%, du 13 septembre au 10 octobre 2004 à 50% et du 29 mai au 22 juin 2009 à 100%. Par ailleurs, selon un rapport dressé le 24 février 2011 puis complété en juillet 2011, le Dr Q.________ a précisé que la vision corrigée de l’œil gauche était de 0,1 depuis 2008 et celle de l’œil droit de 0,2 depuis 2007. On notera enfin que dans son rapport du 12 mai 2011, le Dr R.________ n’a mentionné une nouvelle évolution des troubles de la demanderesse qu’à partir de 2010. Sur cette base, après avoir soumis le dossier au SMR (cf. avis du Dr X.________ du 29 juin 2011), l’OAI-Z.________ a décidé d’octroyer une rente entière d’invalidité à la demanderesse, compte tenu d’une capacité résiduelle de travail de 30% dans toute activité. Se déterminant dans ce contexte le 19 octobre 2011, l’intéressée a déclaré accepter la décision de l’AI, relevant à cette occasion que ses problèmes de vue ne l’avaient jamais empêchée de travailler à 100%, taux auquel elle aurait travaillé en 2009 et 2010 si elle avait trouvé un emploi. Elle a en outre fait mention de soucis d’équilibre depuis fin 2010 et a précisé marcher avec une canne depuis février 2011. Elle a ajouté que lorsqu’elle avait indiqué à l’intention du chômage en 2009 et 2010 qu’elle disposait d’une pleine capacité de travail, tel était le cas – contrairement à sa situation actuelle – nonobstant quelques soucis de vue.</w:t>
      </w:r>
    </w:p>
    <w:p>
      <w:r>
        <w:t>- 25 - b) Pour justifier ses prétentions à l’encontre de la défenderesse, J.________ a fait valoir que c’était la modification de son rythme de vie à l’occasion de sa prise d’emploi au [Service] T.________ qui avait provoqué de nouveaux problèmes urinaires, intestinaux et de déplacement. Elle a également soutenu que si le Dr R.________ l’avait informée en avril 2011 de son incapacité de travail, elle se trouvait toutefois dans cet état depuis bien plus d’un an. La thèse de la demanderesse ne résiste cependant pas à l’examen. Il est certes indéniable que l’intéressée, à l’époque employée par le [Service] T.________, a été mise en arrêt de travail dès le 29 mai 2009 et que cette incapacité perdurait lorsque son employeur l’a licenciée le 23 juin 2009 pour la fin de ce même mois. Il n’en demeure pas moins qu’après avoir perdu son poste de travail au sein de l’administration vaudoise, la demanderesse a été prise en charge par l’assurance-chômage durant les mois de juillet et août 2009 sur la base d’une totale aptitude au travail (cf. observations du 19 octobre 2011 p. 2), avant d’être engagée à plein temps par la Banque cantonale de Z.________ au 1er septembre 2009, emploi qui a pris fin en novembre 2009 et suite auquel l’intéressée s’est réinscrite au chômage en faisant état d’une entière capacité de travail (cf. ibid.). Cette séquence chronologique des événements plaide donc à l’encontre d’une incapacité de travail de longue durée – au sens entendu par la jurisprudence (cf. consid. 4c supra) – remontant à l’emploi de la demanderesse auprès du [Service] T.________. Il apparaît de surcroît que nonobstant l’incapacité de travail survenue de fin mai à fin juin 2009, le licenciement signifié à l’intéressée par le [Service] T.________ n’a quoi qu’il en soit pas été motivé par son absence pour raisons de santé ou par une éventuelle baisse de rendement induite par des troubles médicaux, mais bien par un manque d’adéquation au poste concerné compte tenu de la différence entre les compétences en comptabilité et en audit annoncées dans le dossier de candidature et celles constatées dans la pratique, point sur lequel la demanderesse avait été rendue attentive dès le 29 avril 2009 (cf. lettre de résiliation des rapports de travail du 23 juin 2009). Il convient</w:t>
      </w:r>
    </w:p>
    <w:p>
      <w:r>
        <w:t>- 26 - par ailleurs de souligner que dans ses observations à l’OAI-Z.________ du 19 octobre 2011, la demanderesse – engagée par le [Service] T.________ malgré les importants problèmes de vue qu’elle présentait déjà à l’époque et qui ne l’avaient, au demeurant, pas empêchée de travailler jusqu’alors – a elle-même reconnu qu’elle était capable de travailler en 2009 et 2010, respectivement qu’elle aurait travaillé à plein temps durant cette période si elle avait trouvé un emploi. S’il est du reste vrai que c’est dans le cadre de la procédure AI que l’intéressée a tenu de tels propos et non pas dans le cadre du litige l’opposant à la défenderesse, il n’en demeure pas moins que, selon la jurisprudence dite des premières déclarations ou des déclarations de la première heure, il convient, en présence de deux versions différentes et contradictoires d'un fait, d'accorder la préférence à celle que l'assuré(e) a donnée alors qu'il/elle en ignorait peut-être les conséquences juridiques, les explications nouvelles pouvant être consciemment ou non le fruit de réflexions ultérieures (cf. ATF 121 V 45 consid. 2a et 115 V 143 consid. 8c). A la lumière de cette jurisprudence, les explications ultérieurement apportées concernant l’impact négatif de l’emploi au [Service] T.________ ne sauraient l’emporter sur les déclarations contraires initialement émises par la demanderesse, quand bien même il y a lieu en l’espèce de relativiser le poids de celles-ci compte tenu de l’anosognosie relevée par les médecins. Dans leur ensemble, les circonstances exposées ci-dessus s’opposent donc à la reconnaissance d’une relation de connexité temporelle entre l’incapacité de travail survenue lorsque l’intéressée œuvrait pour le [Service] T.________, d’une part, et son invalidité, d’autre part. A cela s’ajoute que les avis médicaux au dossier ne permettent pas d’aboutir à une autre conclusion. Ainsi, il n’est pas contesté ni contestable que les problèmes de vision de la demanderesse sont largement antérieurs à sa prise d’activité auprès du [Service] T.________, le Dr Q.________ ayant plus spécialement évoqué une vision corrigée de 0,1 depuis 2008 au niveau de l’œil gauche et de 0,2 depuis 2007 au niveau de l’œil droit (cf. rapport du 24 février 2011). Il y a également lieu de rappeler que selon les rapports médicaux des Drs C.________ (3 août 2009 p. 1) et R.________ (11 septembre 2009 p. 1 s. et 13 janvier 2011 p. 2), outre les</w:t>
      </w:r>
    </w:p>
    <w:p>
      <w:r>
        <w:t>- 27 - problèmes sensitifs survenus en 2004 et 2005, la demanderesse avait déjà connu des troubles de la marche en juillet 2008 et janvier 2009, soit avant son engagement par le [Service] T.________ ; selon les pièces au dossier, aucune incapacité de travail n’avait alors été attestée. Par la suite, le Dr R.________ a certes évoqué une détérioration de la situation, mais uniquement à compter de 2010 (cf. rapport du 12 mai 2011 p. 1) ; on notera au demeurant qu’à l’occasion de ses observations du 19 octobre 2011 adressées à l’OAI-Z.________, la demanderesse a situé ses problèmes d’équilibre à la fin de l’année 2010 – explications dont il y a lieu de tenir compte à l’aune de la jurisprudence susdite relative aux premières déclarations (cf. ATF 121 V 45 consid. 2a et 115 V 143 consid. 8c), bien que de manière nuancée au regard de l’anosognosie détectée par les médecins. Quant aux troubles urinaires, ils ont été décrits par le Dr R.________ comme remontant à « plusieurs d’année » [sic] (cf. rapports du</w:t>
      </w:r>
    </w:p>
    <w:p>
      <w:r>
        <w:rPr>
          <w:b/>
        </w:rPr>
        <w:t>E. 11</w:t>
      </w:r>
    </w:p>
    <w:p>
      <w:r>
        <w:t>septembre 2009 p. 2 et du 13 janvier 2011 p. 2) et doivent par conséquent eux aussi être considérés comme antérieurs à la prise de fonction de l’intéressée au sein de l’administration vaudoise. Sur cette question, la Cour de céans fait sienne l’appréciation de la défenderesse : s’il est plausible que les déplacements professionnels entre Z.________ et M.________ fussent difficilement compatibles avec les problèmes urinaires de la demanderesse et que cette dernière en ait subjectivement ressentis les effets concrets à l’époque, cela ne suffit toutefois pas pour retenir qu’objectivement les troubles en question sont apparus ou se sont notablement accrus à ce moment-là (cf. duplique du 1er avril 2014 p. 3). S’agissant des problèmes intestinaux évoqués par la demanderesse dans le cadre du présent litige, il y a lieu de souligner que, selon les pièces en mains de la Cour de céans, de tels troubles ont été évoqués pour la première fois – sous forme d’allergies ou intolérances à différents aliments – à l’occasion d’un premier courriel du 12 septembre 2011 puis d’un second courriel du 19 octobre 2011 envoyés tous deux par l’intéressée à l’OAI-Z.________, sans aucune mention permettant de relier de tels problèmes à la période d’activité au [Service] T.________ plus de deux ans auparavant ; ces troubles n’ont, en outre, pas été répertoriés par les différents médecins intervenus dans le dossier. Au degré de la vraisemblance prépondérante, on ne peut donc pas retenir que des</w:t>
      </w:r>
    </w:p>
    <w:p>
      <w:r>
        <w:t>- 28 - problèmes intestinaux seraient survenus ou auraient augmenté de manière significative durant la période d’affiliation en cause. Finalement, il y a lieu de relativiser le rapport SMR du Dr X.________ du 29 juin 2011 faisant remonter l’incapacité de travail au 29 mai 2009. Ce médecin est en effet parti du postulat que la demanderesse avait quitté sa place au sein du [Service] T.________ du fait de son état de santé (cf. avis du 29 juin 2011 p. 2 : « En raison de sa maladie, elle n’a pas pu continuer à travailler de manière fixe comme expert-comptable et, après une période de chômage (de novembre 2009 à fin janvier 2011), elle a retrouvé un travail d’agent d’assurances […] »), ce qui est faux puisque l’intéressée a été licenciée pour des motifs d’inadéquation au poste concerné. Sur ce point, l’OAI-Z.________ n’a du reste pas suivi le Dr X.________ mais a retenu – comme plus tard la défenderesse (cf. réponse du 20 janvier 2014 p. 6 et duplique du 1er avril 2014 p. 2), qui a ainsi repris à son compte la position de l’office (cf. consid. 3 supra) – que, la demanderesse ayant effectivement travaillé jusqu’à fin 2009, il était difficile de soutenir la thèse d’une incapacité de travail de 70% dans toute activité depuis mai 2009 et qu’il fallait dès lors faire débuter l’incapacité de travail au mois de janvier 2010 (cf. avis juriste du 7 septembre 2011) ; or, on rappellera ici que, dans ses observations du 19 octobre 2011 sur le projet d’acceptation de rente AI, la demanderesse a acquiescé à la position de l’OAI-Z.________. Cela étant, de tels éléments ne peuvent que faire obstacle à la reconnaissance d’un lien de connexité temporelle dans le cas particulier. Au l’aune des considérations qui précèdent, il faut par conséquent admettre que l’incapacité de travail de la demanderesse survenue de fin mai à fin juin 2009, lorsqu’elle était employée au [Service] T.________, ne se trouve pas dans une relation de connexité temporelle avec l’invalidité ultérieurement reconnue. Sous l’angle de la connexité matérielle, il importe donc peu que l’incapacité de travail en question ait ou non été induite par la maladie de la demanderesse, puisque même à admettre que tel ait bien été le cas (quand bien même ce point ne résulte pas directement du rapport du Dr O.________ de janvier 2011, comme relevé par la défenderesse [cf. détermination du 21 août 2013 p. 1]), il</w:t>
      </w:r>
    </w:p>
    <w:p>
      <w:r>
        <w:t>- 29 - reste que la connexité temporelle n’est de toute manière pas donnée en l’occurrence. c) Partant, il y a lieu de retenir que l’incapacité de travail présentée par l’intéressée lorsqu’elle travaillait au [Service] T.________ n’est pas à l’origine de l’invalidité. 7. a) Il suit de là que la demande formée le 18 septembre 2013 par J.________ doit être rejetée. b) La procédure étant gratuite (cf. art. 73 aI. 2 LPP), il ne sera pas perçu de frais de justice. Bien que la défenderesse obtienne gain de cause, elle ne peut prétendre à des dépens de la part de la demanderesse. En effet, selon la jurisprudence, l’assureur social qui obtient gain de cause devant la juridiction de première instance n’a pas droit à des dépens, y compris dans une procédure d’action en matière de prévoyance professionnelle, sous réserve du cas où le demandeur a agi de manière téméraire ou témoigné de légèreté (cf. ATF 126 V 143 consid. 4), ce qui n’est pas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