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ZI12.011292 vom 22. Juli 2013</w:t>
      </w:r>
    </w:p>
    <w:p>
      <w:r>
        <w:t>VD Tribunal cantonal, 2013-07-22, FR</w:t>
      </w:r>
    </w:p>
    <w:p>
      <w:r>
        <w:rPr>
          <w:b/>
        </w:rPr>
        <w:t xml:space="preserve">Quelle: </w:t>
      </w:r>
      <w:r>
        <w:t>https://mcp.opencaselaw.ch/entscheid/vd_gerichte_ZI12.011292</w:t>
      </w:r>
    </w:p>
    <w:p>
      <w:r>
        <w:t>FR: VD_GERICHTE ZI12.011292 du 22 juillet 2013</w:t>
      </w:r>
    </w:p>
    <w:p>
      <w:r>
        <w:t>IT: VD_GERICHTE ZI12.011292 del 22 luglio 2013</w:t>
      </w:r>
    </w:p>
    <w:p>
      <w:pPr>
        <w:pStyle w:val="Heading2"/>
      </w:pPr>
      <w:r>
        <w:t>Erwägungen</w:t>
      </w:r>
    </w:p>
    <w:p>
      <w:r>
        <w:rPr>
          <w:b/>
        </w:rPr>
        <w:t>E. 31</w:t>
      </w:r>
    </w:p>
    <w:p>
      <w:r>
        <w:t>décembre 1998 sont prescrites. Les conclusions prises à l’encontre de Publica et de l'EPFL doivent dès lors être rejetées. b) La procédure étant gratuite (art. 73 al. 2 LPP), il ne sera pas perçu de frais de justice. c) Bien que Publica obtienne gain de cause, elle ne peut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 S'agissant de l'EPFL, l'art. 56 al. 3 LPA-VD en lien avec l'art. 52 al. 1 LPA-VD précise que la Confédération et l'Etat ne peuvent prétendre à des dépens, sauf s'ils défendent leurs intérêts patrimoniaux (art. 56 al. 3 et 52 al. 2 LPA-VD). Sur ce point, le Tribunal fédéral a considéré que l'absence de droit aux dépens avait pour but de ne pas dissuader le justiciable de recourir contre des décisions étatiques, par crainte du risque de devoir supporter des dépens. Peu importe que l'entité publique ait ou non un intérêt patrimonial à la cause. Ainsi, une entité publique qui n'est</w:t>
      </w:r>
    </w:p>
    <w:p>
      <w:r>
        <w:t>- 19 - pas dispensée des frais judiciaires, en raison de son intérêt patrimonial au litige, ne peut en principe obtenir des dépens; ce qui est décisif c'est qu'elle agisse dans le cadre de ses attributions officielles, ce qui est le cas de la défenderesse (TF 8C_404/2010 du 24 janvier 2011 consid. 8; 8C_151/2010 du 31 août 2010 consid. 6). L'EPFL ne peut donc se voir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